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7月3日"/>
    <w:p>
      <w:pPr>
        <w:pStyle w:val="Heading1"/>
      </w:pPr>
      <w:r>
        <w:rPr>
          <w:rFonts w:hint="eastAsia"/>
        </w:rPr>
        <w:t xml:space="preserve">欧洲每日热点新闻</w:t>
      </w:r>
      <w:r>
        <w:t xml:space="preserve"> — </w:t>
      </w:r>
      <w:r>
        <w:rPr>
          <w:rFonts w:hint="eastAsia"/>
        </w:rPr>
        <w:t xml:space="preserve">2026年7月3日</w:t>
      </w:r>
    </w:p>
    <w:bookmarkStart w:id="13" w:name="一经济与市场"/>
    <w:p>
      <w:pPr>
        <w:pStyle w:val="Heading2"/>
      </w:pPr>
      <w:r>
        <w:rPr>
          <w:rFonts w:hint="eastAsia"/>
        </w:rPr>
        <w:t xml:space="preserve">一、经济与市场</w:t>
      </w:r>
    </w:p>
    <w:bookmarkStart w:id="9" w:name="欧元区6月综合pmi回升至荣枯线服务业收缩收窄"/>
    <w:p>
      <w:pPr>
        <w:pStyle w:val="Heading3"/>
      </w:pPr>
      <w:r>
        <w:rPr>
          <w:rFonts w:hint="eastAsia"/>
        </w:rPr>
        <w:t xml:space="preserve">欧元区6月综合PMI回升至荣枯线，服务业收缩收窄</w:t>
      </w:r>
    </w:p>
    <w:p>
      <w:pPr>
        <w:pStyle w:val="FirstParagraph"/>
      </w:pPr>
      <w:r>
        <w:rPr>
          <w:rFonts w:hint="eastAsia"/>
        </w:rPr>
        <w:t xml:space="preserve">7月3日公布的数据显示，标普全球/汉堡商业银行（S&amp;P</w:t>
      </w:r>
      <w:r>
        <w:t xml:space="preserve"> </w:t>
      </w:r>
      <w:r>
        <w:rPr>
          <w:rFonts w:hint="eastAsia"/>
        </w:rPr>
        <w:t xml:space="preserve">Global/HCOB）欧元区综合采购经理人指数（PMI）6月终值升至50.0，较此前初值49.5上修，也高于5月的48.5。50.0恰好是荣枯分界线，意味着欧元区私营部门在连续两个月收缩后首次止跌，创下自3月以来的最高水平。</w:t>
      </w:r>
    </w:p>
    <w:p>
      <w:pPr>
        <w:pStyle w:val="BodyText"/>
      </w:pPr>
      <w:r>
        <w:rPr>
          <w:rFonts w:hint="eastAsia"/>
        </w:rPr>
        <w:t xml:space="preserve">拖累最深的服务业出现明显缓和。服务业PMI从5月的47.7回升至49.4，高于初值48.9；制造业产出指数则从51.3微升至51.4，继续处于扩张区间。更关键的变化在成本端：服务业投入成本通胀以“自1998年有记录以来最陡峭的速度”回落，仅次于新冠封锁期。报告将其归因于美国与伊朗围绕霍尔木兹海峡的谈判缓解了能源价格压力。成本压力减轻之下，服务业企业的招聘速度升至今年1月以来最快。</w:t>
      </w:r>
    </w:p>
    <w:p>
      <w:pPr>
        <w:pStyle w:val="BodyText"/>
      </w:pPr>
      <w:r>
        <w:rPr>
          <w:rFonts w:hint="eastAsia"/>
        </w:rPr>
        <w:t xml:space="preserve">分国别看，意大利、西班牙、爱尔兰的读数已站上50，而作为欧元区两大经济体的德国和法国仍在收缩区间，但降幅正在收窄。价格层面的降温也印证了通胀走势——据欧盟统计局（Eurostat）7月1日发布的快报，欧元区6月年度通胀率为2.8%，远低于5月的3.2%。</w:t>
      </w:r>
    </w:p>
    <w:p>
      <w:pPr>
        <w:pStyle w:val="BodyText"/>
      </w:pPr>
      <w:r>
        <w:rPr>
          <w:b/>
          <w:bCs/>
        </w:rPr>
        <w:t xml:space="preserve">References</w:t>
      </w:r>
    </w:p>
    <w:p>
      <w:pPr>
        <w:pStyle w:val="BodyText"/>
      </w:pPr>
      <w:r>
        <w:t xml:space="preserve">[1] Reuters. (2026, July 3). Euro zone services sector contraction eased in June as inflation cooled sharply, PMI shows. Investing.com. https://www.investing.com/news/economic-indicators/euro-zone-services-sector-contraction-eased-in-june-as-inflation-cooled-sharply-pmi-shows-4775092</w:t>
      </w:r>
    </w:p>
    <w:p>
      <w:pPr>
        <w:pStyle w:val="BodyText"/>
      </w:pPr>
      <w:r>
        <w:t xml:space="preserve">[2] S&amp;P Global. (2026, July 3). HCOB Eurozone Composite PMI. S&amp;P Global. https://www.pmi.spglobal.com/</w:t>
      </w:r>
    </w:p>
    <w:p>
      <w:pPr>
        <w:pStyle w:val="BodyText"/>
      </w:pPr>
      <w:r>
        <w:t xml:space="preserve">[3] Trading Economics. (2026, July 3). Euro area composite PMI. Trading Economics. https://tradingeconomics.com/euro-area/composite-pmi</w:t>
      </w:r>
    </w:p>
    <w:p>
      <w:r>
        <w:pict>
          <v:rect style="width:0;height:1.5pt" o:hralign="center" o:hrstd="t" o:hr="t"/>
        </w:pict>
      </w:r>
    </w:p>
    <w:bookmarkEnd w:id="9"/>
    <w:bookmarkStart w:id="10" w:name="欧洲央行公布一季度国际收支经常账户盈余收窄"/>
    <w:p>
      <w:pPr>
        <w:pStyle w:val="Heading3"/>
      </w:pPr>
      <w:r>
        <w:rPr>
          <w:rFonts w:hint="eastAsia"/>
        </w:rPr>
        <w:t xml:space="preserve">欧洲央行公布一季度国际收支，经常账户盈余收窄</w:t>
      </w:r>
    </w:p>
    <w:p>
      <w:pPr>
        <w:pStyle w:val="FirstParagraph"/>
      </w:pPr>
      <w:r>
        <w:rPr>
          <w:rFonts w:hint="eastAsia"/>
        </w:rPr>
        <w:t xml:space="preserve">欧洲央行（European</w:t>
      </w:r>
      <w:r>
        <w:t xml:space="preserve"> Central </w:t>
      </w:r>
      <w:r>
        <w:rPr>
          <w:rFonts w:hint="eastAsia"/>
        </w:rPr>
        <w:t xml:space="preserve">Bank）7月3日发布欧元区2026年第一季度季度国际收支及国际投资头寸数据。截至一季度的四个季度累计经常账户盈余为2750亿欧元，相当于欧元区国内生产总值（GDP）的1.7%，明显低于一年前的3520亿欧元（占GDP的2.3%）。</w:t>
      </w:r>
    </w:p>
    <w:p>
      <w:pPr>
        <w:pStyle w:val="BodyText"/>
      </w:pPr>
      <w:r>
        <w:rPr>
          <w:rFonts w:hint="eastAsia"/>
        </w:rPr>
        <w:t xml:space="preserve">盈余缩水主要来自贸易端。货物贸易顺差从3440亿欧元降至3130亿欧元，服务贸易顺差从1690亿欧元降至1490亿欧元；二次收入逆差则从1710亿欧元扩大至1970亿欧元，初次收入顺差则从110亿欧元微降至100亿欧元。分交易对手看，欧元区对英国录得最大双边经常账户顺差，达2360亿欧元；对中国录得最大逆差，为1700亿欧元。</w:t>
      </w:r>
    </w:p>
    <w:p>
      <w:pPr>
        <w:pStyle w:val="BodyText"/>
      </w:pPr>
      <w:r>
        <w:rPr>
          <w:rFonts w:hint="eastAsia"/>
        </w:rPr>
        <w:t xml:space="preserve">在存量层面，欧元区净对外资产升至1.80万亿欧元（占GDP的11.2%），较2025年第四季度的1.65万亿欧元增加1470亿欧元；对外债务总额则达到17.53万亿欧元，相当于GDP的109%。</w:t>
      </w:r>
    </w:p>
    <w:p>
      <w:pPr>
        <w:pStyle w:val="BodyText"/>
      </w:pPr>
      <w:r>
        <w:rPr>
          <w:b/>
          <w:bCs/>
        </w:rPr>
        <w:t xml:space="preserve">References</w:t>
      </w:r>
    </w:p>
    <w:p>
      <w:pPr>
        <w:pStyle w:val="BodyText"/>
      </w:pPr>
      <w:r>
        <w:t xml:space="preserve">[4] European Central Bank. (2026, July 3). Euro area quarterly balance of payments and international investment position: First quarter of 2026. European Central Bank. https://www.ecb.europa.eu/press/stats/bop/2026/html/ecb.bq260703~7d2888b3ee.en.html</w:t>
      </w:r>
    </w:p>
    <w:p>
      <w:pPr>
        <w:pStyle w:val="BodyText"/>
      </w:pPr>
      <w:r>
        <w:t xml:space="preserve">[5] Eurostat. (2026, July 3). Euro area and EU international trade and current account, first quarter 2026. Eurostat. https://ec.europa.eu/eurostat/web/products-euro-indicators/w/2-03072026-bp</w:t>
      </w:r>
    </w:p>
    <w:p>
      <w:r>
        <w:pict>
          <v:rect style="width:0;height:1.5pt" o:hralign="center" o:hrstd="t" o:hr="t"/>
        </w:pict>
      </w:r>
    </w:p>
    <w:bookmarkEnd w:id="10"/>
    <w:bookmarkStart w:id="11" w:name="欧元区一季度居民储蓄率维持14.3企业利润份额下滑"/>
    <w:p>
      <w:pPr>
        <w:pStyle w:val="Heading3"/>
      </w:pPr>
      <w:r>
        <w:rPr>
          <w:rFonts w:hint="eastAsia"/>
        </w:rPr>
        <w:t xml:space="preserve">欧元区一季度居民储蓄率维持14.3%，企业利润份额下滑</w:t>
      </w:r>
    </w:p>
    <w:p>
      <w:pPr>
        <w:pStyle w:val="FirstParagraph"/>
      </w:pPr>
      <w:r>
        <w:rPr>
          <w:rFonts w:hint="eastAsia"/>
        </w:rPr>
        <w:t xml:space="preserve">欧盟统计局（Eurostat）7月3日发布欧元区2026年第一季度首份季度部门账户，覆盖范围为自今年1月起纳入保加利亚的EA21。数据显示，居民储蓄率稳定在14.3%，与2025年第四季度持平；同期居民消费增长0.8%，可支配总收入增长0.7%，两者步调基本一致。居民投资率则从8.6%小幅回落至8.5%。</w:t>
      </w:r>
    </w:p>
    <w:p>
      <w:pPr>
        <w:pStyle w:val="BodyText"/>
      </w:pPr>
      <w:r>
        <w:rPr>
          <w:rFonts w:hint="eastAsia"/>
        </w:rPr>
        <w:t xml:space="preserve">企业部门的表现分化。非金融企业的利润份额从39.7%下降至38.6%，但即便其总增加值下滑0.9%，非金融企业投资率仍从21.7%逆势升至22.2%，显示企业在盈利承压时仍维持了资本开支。</w:t>
      </w:r>
    </w:p>
    <w:p>
      <w:pPr>
        <w:pStyle w:val="BodyText"/>
      </w:pPr>
      <w:r>
        <w:rPr>
          <w:rFonts w:hint="eastAsia"/>
        </w:rPr>
        <w:t xml:space="preserve">同日发布的另一组数据显示，欧盟经季节调整后的一季度经常账户盈余为1134亿欧元，占GDP的2.4%，高于2025年第四季度的992亿欧元和2025年第一季度的1049亿欧元。其中德国以618亿欧元顺差居各成员国之首，而欧盟对中国录得最大双边逆差，达663亿欧元。</w:t>
      </w:r>
    </w:p>
    <w:p>
      <w:pPr>
        <w:pStyle w:val="BodyText"/>
      </w:pPr>
      <w:r>
        <w:rPr>
          <w:b/>
          <w:bCs/>
        </w:rPr>
        <w:t xml:space="preserve">References</w:t>
      </w:r>
    </w:p>
    <w:p>
      <w:pPr>
        <w:pStyle w:val="BodyText"/>
      </w:pPr>
      <w:r>
        <w:t xml:space="preserve">[6] Eurostat. (2026, July 3). Household saving rate stable in the euro area in the first quarter of 2026. Eurostat. https://ec.europa.eu/eurostat/web/products-euro-indicators/w/2-03072026-ap</w:t>
      </w:r>
    </w:p>
    <w:p>
      <w:pPr>
        <w:pStyle w:val="BodyText"/>
      </w:pPr>
      <w:r>
        <w:t xml:space="preserve">[7] Eurostat. (2026, July 3). Euro area and EU international trade and current account, first quarter 2026. Eurostat. https://ec.europa.eu/eurostat/web/products-euro-indicators/w/2-03072026-bp</w:t>
      </w:r>
    </w:p>
    <w:p>
      <w:r>
        <w:pict>
          <v:rect style="width:0;height:1.5pt" o:hralign="center" o:hrstd="t" o:hr="t"/>
        </w:pict>
      </w:r>
    </w:p>
    <w:bookmarkEnd w:id="11"/>
    <w:bookmarkStart w:id="12" w:name="欧盟委员会通过修订版esrs强制披露数据点砍逾六成"/>
    <w:p>
      <w:pPr>
        <w:pStyle w:val="Heading3"/>
      </w:pPr>
      <w:r>
        <w:rPr>
          <w:rFonts w:hint="eastAsia"/>
        </w:rPr>
        <w:t xml:space="preserve">欧盟委员会通过修订版ESRS，强制披露数据点砍逾六成</w:t>
      </w:r>
    </w:p>
    <w:p>
      <w:pPr>
        <w:pStyle w:val="FirstParagraph"/>
      </w:pPr>
      <w:r>
        <w:rPr>
          <w:rFonts w:hint="eastAsia"/>
        </w:rPr>
        <w:t xml:space="preserve">欧盟委员会（European</w:t>
      </w:r>
      <w:r>
        <w:t xml:space="preserve"> </w:t>
      </w:r>
      <w:r>
        <w:rPr>
          <w:rFonts w:hint="eastAsia"/>
        </w:rPr>
        <w:t xml:space="preserve">Commission）7月3日正式通过修订版《欧洲可持续发展报告准则》（ESRS），并为规模较小的企业推出一套自愿性报告标准。这是“Omnibus</w:t>
      </w:r>
      <w:r>
        <w:t xml:space="preserve"> </w:t>
      </w:r>
      <w:r>
        <w:rPr>
          <w:rFonts w:hint="eastAsia"/>
        </w:rPr>
        <w:t xml:space="preserve">I”简化一揽子计划的组成部分。修订后的ESRS相比2023年版本，强制披露数据点减少逾60%，数据点总量减少逾70%，预计单家企业的报告成本将下降逾30%，内容仍覆盖气候变化、生物多样性和人权等议题。</w:t>
      </w:r>
    </w:p>
    <w:p>
      <w:pPr>
        <w:pStyle w:val="BodyText"/>
      </w:pPr>
      <w:r>
        <w:rPr>
          <w:rFonts w:hint="eastAsia"/>
        </w:rPr>
        <w:t xml:space="preserve">此举延续了欧盟自2024年底以来的“简化革命”。该简化方案于2025年2月首次提出，此后欧洲议会（European</w:t>
      </w:r>
      <w:r>
        <w:t xml:space="preserve"> </w:t>
      </w:r>
      <w:r>
        <w:rPr>
          <w:rFonts w:hint="eastAsia"/>
        </w:rPr>
        <w:t xml:space="preserve">Parliament）于2025年12月通过一致意见，欧盟理事会（Council</w:t>
      </w:r>
      <w:r>
        <w:t xml:space="preserve"> of the </w:t>
      </w:r>
      <w:r>
        <w:rPr>
          <w:rFonts w:hint="eastAsia"/>
        </w:rPr>
        <w:t xml:space="preserve">EU）于2026年2月正式批准“Omnibus”指令，核心目标是为企业减负、提振竞争力。</w:t>
      </w:r>
    </w:p>
    <w:p>
      <w:pPr>
        <w:pStyle w:val="BodyText"/>
      </w:pPr>
      <w:r>
        <w:rPr>
          <w:rFonts w:hint="eastAsia"/>
        </w:rPr>
        <w:t xml:space="preserve">面向不受《企业可持续发展报告指令》（CSRD）约束企业的新版自愿报告标准，则提供了一套参照框架。为防止大企业将合规压力向下转嫁，新规设置了“价值链上限”，禁止CSRD范围内的企业要求其价值链供应商提供超出自愿标准的信息。修订版准则纳入了欧洲财务报告咨询组（EFRAG）在2025年春季征询后提供的技术建议，接下来将提交欧洲议会和欧盟理事会进行为期两个月的审查，审查期还可再延长两个月。</w:t>
      </w:r>
    </w:p>
    <w:p>
      <w:pPr>
        <w:pStyle w:val="BodyText"/>
      </w:pPr>
      <w:r>
        <w:rPr>
          <w:b/>
          <w:bCs/>
        </w:rPr>
        <w:t xml:space="preserve">References</w:t>
      </w:r>
    </w:p>
    <w:p>
      <w:pPr>
        <w:pStyle w:val="BodyText"/>
      </w:pPr>
      <w:r>
        <w:t xml:space="preserve">[8] European Commission. (2026, July 3). Commission adopts revised sustainability reporting standards to reduce administrative burdens for EU companies. European Commission. https://finance.ec.europa.eu/news/commission-adopts-revised-sustainability-reporting-standards-reduce-administrative-burdens-eu-2026-07-03_en</w:t>
      </w:r>
    </w:p>
    <w:p>
      <w:pPr>
        <w:pStyle w:val="BodyText"/>
      </w:pPr>
      <w:r>
        <w:t xml:space="preserve">[9] Council of the EU. (2026, February 24). Council signs off simplification of sustainability reporting and due diligence requirements to boost EU competitiveness. Consilium. https://www.consilium.europa.eu/en/press/press-releases/2026/02/24/council-signs-off-simplification-of-sustainability-reporting-and-due-diligence-requirements-to-boost-eu-competitiveness/</w:t>
      </w:r>
    </w:p>
    <w:p>
      <w:r>
        <w:pict>
          <v:rect style="width:0;height:1.5pt" o:hralign="center" o:hrstd="t" o:hr="t"/>
        </w:pict>
      </w:r>
    </w:p>
    <w:bookmarkEnd w:id="12"/>
    <w:bookmarkEnd w:id="13"/>
    <w:bookmarkStart w:id="16" w:name="二政治与外交"/>
    <w:p>
      <w:pPr>
        <w:pStyle w:val="Heading2"/>
      </w:pPr>
      <w:r>
        <w:rPr>
          <w:rFonts w:hint="eastAsia"/>
        </w:rPr>
        <w:t xml:space="preserve">二、政治与外交</w:t>
      </w:r>
    </w:p>
    <w:bookmarkStart w:id="14" w:name="摩尔多瓦总理蒙泰亚努上任八个月辞职政府随之解散"/>
    <w:p>
      <w:pPr>
        <w:pStyle w:val="Heading3"/>
      </w:pPr>
      <w:r>
        <w:rPr>
          <w:rFonts w:hint="eastAsia"/>
        </w:rPr>
        <w:t xml:space="preserve">摩尔多瓦总理蒙泰亚努上任八个月辞职，政府随之解散</w:t>
      </w:r>
    </w:p>
    <w:p>
      <w:pPr>
        <w:pStyle w:val="FirstParagraph"/>
      </w:pPr>
      <w:r>
        <w:rPr>
          <w:rFonts w:hint="eastAsia"/>
        </w:rPr>
        <w:t xml:space="preserve">摩尔多瓦总理亚历山德鲁·蒙泰亚努（Alexandru</w:t>
      </w:r>
      <w:r>
        <w:t xml:space="preserve"> </w:t>
      </w:r>
      <w:r>
        <w:rPr>
          <w:rFonts w:hint="eastAsia"/>
        </w:rPr>
        <w:t xml:space="preserve">Munteanu）7月3日宣布辞职，理由是无法“依照我的原则和信念”执政。按摩尔多瓦程序，总理辞职自动触发整届政府请辞。自2025年11月上任以来，他执政仅约八个月。蒙泰亚努是在总统马娅·桑杜（Maia</w:t>
      </w:r>
      <w:r>
        <w:t xml:space="preserve"> </w:t>
      </w:r>
      <w:r>
        <w:rPr>
          <w:rFonts w:hint="eastAsia"/>
        </w:rPr>
        <w:t xml:space="preserve">Sandu）所在的亲欧“行动与团结党”（PAS）赢得2025年9月议会选举后获任命的。</w:t>
      </w:r>
    </w:p>
    <w:p>
      <w:pPr>
        <w:pStyle w:val="BodyText"/>
      </w:pPr>
      <w:r>
        <w:rPr>
          <w:rFonts w:hint="eastAsia"/>
        </w:rPr>
        <w:t xml:space="preserve">辞职正值一桩国企丑闻发酵之际。据摩尔多瓦调查媒体报道，国有空中航行服务提供商MoldATSA存在诸多疑点：该公司一名高管伪造简历，总统的一名亲属被直接安插到公关岗位，薪酬一度高达摩尔多瓦工资中位数的八倍。PAS随后宣布一系列免职与辞职，并就MoldATSA处置不当向公众致歉。</w:t>
      </w:r>
    </w:p>
    <w:p>
      <w:pPr>
        <w:pStyle w:val="BodyText"/>
      </w:pPr>
      <w:r>
        <w:rPr>
          <w:rFonts w:hint="eastAsia"/>
        </w:rPr>
        <w:t xml:space="preserve">桑杜表示，摩尔多瓦的方向不会改变。她说：“摩尔多瓦的道路保持不变：改革与加入欧盟。”她还驳斥了蒙泰亚努缺乏施政空间的说法，强调：“总理有充分的自由，可以按他认为合适的方式领导政府。”桑杜称将于下周与各议会党团磋商，随后提名新总理人选，蒙泰亚努在此之前继续留任看守。就在两周前的6月15日，摩尔多瓦刚在卢森堡正式启动欧盟入盟谈判。</w:t>
      </w:r>
    </w:p>
    <w:p>
      <w:pPr>
        <w:pStyle w:val="BodyText"/>
      </w:pPr>
      <w:r>
        <w:rPr>
          <w:b/>
          <w:bCs/>
        </w:rPr>
        <w:t xml:space="preserve">References</w:t>
      </w:r>
    </w:p>
    <w:p>
      <w:pPr>
        <w:pStyle w:val="BodyText"/>
      </w:pPr>
      <w:r>
        <w:t xml:space="preserve">[10] Al Jazeera. (2026, July 3). Moldova’s prime minister quits, triggering government’s resignation. Al Jazeera. https://www.aljazeera.com/news/2026/7/3/moldovas-prime-minister-quits-triggering-governments-resignation</w:t>
      </w:r>
    </w:p>
    <w:p>
      <w:pPr>
        <w:pStyle w:val="BodyText"/>
      </w:pPr>
      <w:r>
        <w:t xml:space="preserve">[11] Euronews. (2026, July 3). Moldovan prime minister Alexandru Munteanu resigns after eight months in office. Euronews. https://www.euronews.com/my-europe/2026/07/03/moldovan-prime-minister-alexandru-munteanu-resigns-after-eight-months-in-office</w:t>
      </w:r>
    </w:p>
    <w:p>
      <w:pPr>
        <w:pStyle w:val="BodyText"/>
      </w:pPr>
      <w:r>
        <w:t xml:space="preserve">[12] Associated Press. (2026, July 3). Moldova’s prime minister steps down, triggering the government’s resignation. The Washington Post. https://www.washingtonpost.com/world/2026/07/03/moldova-prime-minister-resignation-alexandru-munteanu-sandu/821484b6-76bf-11f1-b665-5f8be87f3787_story.html</w:t>
      </w:r>
    </w:p>
    <w:p>
      <w:pPr>
        <w:pStyle w:val="BodyText"/>
      </w:pPr>
      <w:r>
        <w:t xml:space="preserve">[13] Balkan Insight. (2026, July 3). Moldova PM steps down abruptly as corruption scandals unfold. Balkan Insight. https://balkaninsight.com/2026/07/03/moldova-pm-steps-down-abruptly-as-corruption-scandals-unfold/bi/</w:t>
      </w:r>
    </w:p>
    <w:p>
      <w:r>
        <w:pict>
          <v:rect style="width:0;height:1.5pt" o:hralign="center" o:hrstd="t" o:hr="t"/>
        </w:pict>
      </w:r>
    </w:p>
    <w:bookmarkEnd w:id="14"/>
    <w:bookmarkStart w:id="15" w:name="eppo突查四国追查极右团体涉挪用430万欧元议会经费"/>
    <w:p>
      <w:pPr>
        <w:pStyle w:val="Heading3"/>
      </w:pPr>
      <w:r>
        <w:rPr>
          <w:rFonts w:hint="eastAsia"/>
        </w:rPr>
        <w:t xml:space="preserve">EPPO突查四国，追查极右团体涉挪用430万欧元议会经费</w:t>
      </w:r>
    </w:p>
    <w:p>
      <w:pPr>
        <w:pStyle w:val="FirstParagraph"/>
      </w:pPr>
      <w:r>
        <w:rPr>
          <w:rFonts w:hint="eastAsia"/>
        </w:rPr>
        <w:t xml:space="preserve">欧洲检察官办公室（EPPO）7月3日在法国、西班牙、意大利和比利时四国展开协调突击搜查，调查极右翼“身份与民主”党团（ID）在2019至2024年届期内涉嫌挪用430万欧元欧洲议会经费。调查聚焦该党团是否违反公开招标规则，以及是否用纳税人资金发放了不合规的捐款。</w:t>
      </w:r>
    </w:p>
    <w:p>
      <w:pPr>
        <w:pStyle w:val="BodyText"/>
      </w:pPr>
      <w:r>
        <w:rPr>
          <w:rFonts w:hint="eastAsia"/>
        </w:rPr>
        <w:t xml:space="preserve">ID党团如今已解散，重组为“欧洲爱国者”（Patriots</w:t>
      </w:r>
      <w:r>
        <w:t xml:space="preserve"> for </w:t>
      </w:r>
      <w:r>
        <w:rPr>
          <w:rFonts w:hint="eastAsia"/>
        </w:rPr>
        <w:t xml:space="preserve">Europe），目前是欧洲议会第三大党团，法国国民联盟籍欧洲议员若尔当·巴尔德拉（Jordan</w:t>
      </w:r>
      <w:r>
        <w:t xml:space="preserve"> </w:t>
      </w:r>
      <w:r>
        <w:rPr>
          <w:rFonts w:hint="eastAsia"/>
        </w:rPr>
        <w:t xml:space="preserve">Bardella）是其核心人物。巴尔德拉被视为玛丽娜·勒庞（Marine</w:t>
      </w:r>
      <w:r>
        <w:t xml:space="preserve"> Le </w:t>
      </w:r>
      <w:r>
        <w:rPr>
          <w:rFonts w:hint="eastAsia"/>
        </w:rPr>
        <w:t xml:space="preserve">Pen）的指定接班人，而勒庞正等待巴黎法院裁决是否维持对她五年禁止担任公职的处罚——那是另一起涉及欧洲议会助理经费的挪用定罪案件。这意味着这次调查触及了法国极右翼势力的两代领军人物。</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[14] Euronews. (2026, July 3). Following the money: The EPPO investigation into defunct far-right EU group. Euronews. https://www.euronews.com/my-europe/2026/07/03/watch-following-the-moneythe-eppo-investigation-into-defunct-far-right-eu-group</w:t>
      </w:r>
    </w:p>
    <w:p>
      <w:pPr>
        <w:pStyle w:val="BodyText"/>
      </w:pPr>
      <w:r>
        <w:t xml:space="preserve">[15] Brussels Signal. (2026, July). Raids in Europe over alleged embezzlement, RN is targeted. Brussels Signal. https://brusselssignal.eu/2026/07/raids-in-europe-over-alleged-embezzlement-rn-is-targeted/</w:t>
      </w:r>
    </w:p>
    <w:p>
      <w:pPr>
        <w:pStyle w:val="BodyText"/>
      </w:pPr>
      <w:r>
        <w:t xml:space="preserve">[16] The Journal. (2026, July 3). EU prosecutors conduct raids in four countries over alleged misappropriation of funds by far-right. The Journal. https://www.thejournal.ie/eu-prosecutors-conduct-raids-in-four-countries-over-alleged-misappropriation-of-funds-by-far-right-7086570-Jun2026/</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研究称欧盟数据保护规则延迟11大模型在欧发布"/>
    <w:p>
      <w:pPr>
        <w:pStyle w:val="Heading3"/>
      </w:pPr>
      <w:r>
        <w:rPr>
          <w:rFonts w:hint="eastAsia"/>
        </w:rPr>
        <w:t xml:space="preserve">研究称欧盟数据保护规则延迟11%大模型在欧发布</w:t>
      </w:r>
    </w:p>
    <w:p>
      <w:pPr>
        <w:pStyle w:val="FirstParagraph"/>
      </w:pPr>
      <w:r>
        <w:rPr>
          <w:rFonts w:hint="eastAsia"/>
        </w:rPr>
        <w:t xml:space="preserve">人工智能治理中心（GovAI）7月3日发布的报告发现，以《通用数据保护条例》（GDPR）为主的欧盟数据保护规则，导致至少11%的先进大语言模型（LLM）在欧盟的发布相比美国被延迟或阻止，相比英国这一比例为7%。研究覆盖了Meta、谷歌（Google）、OpenAI和Anthropic等公司在八年间（2018年6月至2026年5月）推出的375款大模型。</w:t>
      </w:r>
    </w:p>
    <w:p>
      <w:pPr>
        <w:pStyle w:val="BodyText"/>
      </w:pPr>
      <w:r>
        <w:rPr>
          <w:rFonts w:hint="eastAsia"/>
        </w:rPr>
        <w:t xml:space="preserve">在68个有据可查的延迟或撤回案例中，56个可归因于监管因素。图像、音频、实时视频等非文本模态遭遇的障碍更大。Meta受影响最深，其26%的欧盟发布被延迟或撤回，而在英国这一比例为15%；Anthropic的Claude</w:t>
      </w:r>
      <w:r>
        <w:t xml:space="preserve"> 3 </w:t>
      </w:r>
      <w:r>
        <w:rPr>
          <w:rFonts w:hint="eastAsia"/>
        </w:rPr>
        <w:t xml:space="preserve">Opus则在欧盟网页版上线时遭遇了71天延迟。研究认为，欧盟的执法比英国更为“激进”。</w:t>
      </w:r>
    </w:p>
    <w:p>
      <w:pPr>
        <w:pStyle w:val="BodyText"/>
      </w:pPr>
      <w:r>
        <w:rPr>
          <w:rFonts w:hint="eastAsia"/>
        </w:rPr>
        <w:t xml:space="preserve">这份报告出台的时点颇为敏感：欧盟《人工智能法案》（AI</w:t>
      </w:r>
      <w:r>
        <w:t xml:space="preserve"> </w:t>
      </w:r>
      <w:r>
        <w:rPr>
          <w:rFonts w:hint="eastAsia"/>
        </w:rPr>
        <w:t xml:space="preserve">Act）将于2026年8月2日全面适用。英国人工智能政策研究者约翰·利迪亚德（John</w:t>
      </w:r>
      <w:r>
        <w:t xml:space="preserve"> </w:t>
      </w:r>
      <w:r>
        <w:rPr>
          <w:rFonts w:hint="eastAsia"/>
        </w:rPr>
        <w:t xml:space="preserve">Lidiard）就此表示：“政策制定者在实施和设计人工智能相关监管时，将模型可及性的延迟作为一项考量因素，是很重要的。”</w:t>
      </w:r>
    </w:p>
    <w:p>
      <w:pPr>
        <w:pStyle w:val="BodyText"/>
      </w:pPr>
      <w:r>
        <w:rPr>
          <w:b/>
          <w:bCs/>
        </w:rPr>
        <w:t xml:space="preserve">References</w:t>
      </w:r>
    </w:p>
    <w:p>
      <w:pPr>
        <w:pStyle w:val="BodyText"/>
      </w:pPr>
      <w:r>
        <w:t xml:space="preserve">[17] Euronews. (2026, July 3). Data protection rules slow LLM rollout in Europe, study says. Euronews. https://www.euronews.com/next/2026/07/03/data-protection-rules-slow-llm-rollout-in-europe-study-says</w:t>
      </w:r>
    </w:p>
    <w:p>
      <w:pPr>
        <w:pStyle w:val="BodyText"/>
      </w:pPr>
      <w:r>
        <w:t xml:space="preserve">[18] Crypto Briefing. (2026, July 3). EU GDPR delays LLM releases, study finds. Crypto Briefing. https://cryptobriefing.com/eu-gdpr-delays-llm-releases-defense/</w:t>
      </w:r>
    </w:p>
    <w:p>
      <w:r>
        <w:pict>
          <v:rect style="width:0;height:1.5pt" o:hralign="center" o:hrstd="t" o:hr="t"/>
        </w:pict>
      </w:r>
    </w:p>
    <w:bookmarkEnd w:id="17"/>
    <w:bookmarkStart w:id="18" w:name="公民实验室证实调查间谍软件的欧洲议员本人遭佩加索斯入侵"/>
    <w:p>
      <w:pPr>
        <w:pStyle w:val="Heading3"/>
      </w:pPr>
      <w:r>
        <w:rPr>
          <w:rFonts w:hint="eastAsia"/>
        </w:rPr>
        <w:t xml:space="preserve">公民实验室证实：调查间谍软件的欧洲议员本人遭佩加索斯入侵</w:t>
      </w:r>
    </w:p>
    <w:p>
      <w:pPr>
        <w:pStyle w:val="FirstParagraph"/>
      </w:pPr>
      <w:r>
        <w:rPr>
          <w:rFonts w:hint="eastAsia"/>
        </w:rPr>
        <w:t xml:space="preserve">多伦多大学公民实验室（Citizen</w:t>
      </w:r>
      <w:r>
        <w:t xml:space="preserve"> </w:t>
      </w:r>
      <w:r>
        <w:rPr>
          <w:rFonts w:hint="eastAsia"/>
        </w:rPr>
        <w:t xml:space="preserve">Lab）7月3日发布取证报告：希腊前欧洲议员、调查记者斯泰利奥斯·库洛格鲁（Stelios</w:t>
      </w:r>
      <w:r>
        <w:t xml:space="preserve"> </w:t>
      </w:r>
      <w:r>
        <w:rPr>
          <w:rFonts w:hint="eastAsia"/>
        </w:rPr>
        <w:t xml:space="preserve">Kouloglou）在任职欧洲议会PEGA委员会期间，本人至少三次被植入NSO集团（NSO</w:t>
      </w:r>
      <w:r>
        <w:t xml:space="preserve"> </w:t>
      </w:r>
      <w:r>
        <w:rPr>
          <w:rFonts w:hint="eastAsia"/>
        </w:rPr>
        <w:t xml:space="preserve">Group）的佩加索斯间谍软件（Pegasus）。PEGA委员会正是欧洲议会于2022年专门设立、用于调查欧盟各国非法使用间谍软件的机构。</w:t>
      </w:r>
    </w:p>
    <w:p>
      <w:pPr>
        <w:pStyle w:val="BodyText"/>
      </w:pPr>
      <w:r>
        <w:rPr>
          <w:rFonts w:hint="eastAsia"/>
        </w:rPr>
        <w:t xml:space="preserve">研究人员通过iPhone取证确认了感染时间：一次约在2022年10月21日，另两次在2023年3月6日至7日，攻击使用了名为PWNYOURHOME的“零点击”漏洞利用工具。这是首个被公开确认的、在PEGA委员会任内即遭入侵的委员案例。研究者指出：“攻击者本可能借此获取机密文件和委员会的审议内容。”报告未发现将攻击归咎于希腊政府的证据，但其手法与此前针对流亡欧洲的俄语、白俄罗斯语记者及活动人士的行动存在重叠。</w:t>
      </w:r>
    </w:p>
    <w:p>
      <w:pPr>
        <w:pStyle w:val="BodyText"/>
      </w:pPr>
      <w:r>
        <w:rPr>
          <w:rFonts w:hint="eastAsia"/>
        </w:rPr>
        <w:t xml:space="preserve">PEGA委员会源于2022年3月的一场风暴——当时外界得知，NSO集团开发的佩加索斯已在50多个国家被用于监控记者、人权人士和政界人物。委员会曾赴以色列、波兰、希腊、匈牙利、西班牙等地实地调查，并在2023年认定希腊、波兰、匈牙利的相关法律与实践违反欧盟法。欧洲议员汉娜·诺伊曼（Hannah</w:t>
      </w:r>
      <w:r>
        <w:t xml:space="preserve"> </w:t>
      </w:r>
      <w:r>
        <w:rPr>
          <w:rFonts w:hint="eastAsia"/>
        </w:rPr>
        <w:t xml:space="preserve">Neumann）评论说：“间谍软件不会让民主更安全。它削弱的是民主监督、议会独立和法治。”</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[19] Scott-Railton, J., Marczak, B., et al. (2026, July 3). Member of committee investigating spyware hacked with Pegasus. Citizen Lab, University of Toronto. https://citizenlab.ca/research/member-of-committee-investigating-spyware-hacked-with-pegasus/</w:t>
      </w:r>
    </w:p>
    <w:p>
      <w:pPr>
        <w:pStyle w:val="BodyText"/>
      </w:pPr>
      <w:r>
        <w:t xml:space="preserve">[20] Al Jazeera. (2026, July 3). EU lawmaker investigating surveillance hacked by Israeli spyware, report says. Al Jazeera. https://www.aljazeera.com/economy/2026/7/3/eu-lawmaker-investigating-surveillance-hacked-by-israeli-spyware-report-says</w:t>
      </w:r>
    </w:p>
    <w:p>
      <w:pPr>
        <w:pStyle w:val="BodyText"/>
      </w:pPr>
      <w:r>
        <w:t xml:space="preserve">[21] The Record. (2026, July 3). Spyware found on phone of European Parliament member probing it. The Record. https://therecord.media/pegasus-spyware-european-parliament-pega-committee-member</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欧洲热浪已致法比西荷逾4000人超额死亡"/>
    <w:p>
      <w:pPr>
        <w:pStyle w:val="Heading3"/>
      </w:pPr>
      <w:r>
        <w:rPr>
          <w:rFonts w:hint="eastAsia"/>
        </w:rPr>
        <w:t xml:space="preserve">欧洲热浪已致法比西荷逾4000人超额死亡</w:t>
      </w:r>
    </w:p>
    <w:p>
      <w:pPr>
        <w:pStyle w:val="FirstParagraph"/>
      </w:pPr>
      <w:r>
        <w:rPr>
          <w:rFonts w:hint="eastAsia"/>
        </w:rPr>
        <w:t xml:space="preserve">7月3日公布的初步死亡数据显示，6月下旬席卷西欧的热浪已造成超过4000人超额死亡。法国录得2025例额外死亡，当周死亡率上升近30%，法国卫生部门称这一数字“很可能被低估”。比利时在6月18日至29日间录得1222例额外死亡，增幅达39%，为“该国自新冠首波疫情以来的单日最高死亡人数”。</w:t>
      </w:r>
    </w:p>
    <w:p>
      <w:pPr>
        <w:pStyle w:val="BodyText"/>
      </w:pPr>
      <w:r>
        <w:rPr>
          <w:rFonts w:hint="eastAsia"/>
        </w:rPr>
        <w:t xml:space="preserve">西班牙卡洛斯三世卫生研究院（Carlos</w:t>
      </w:r>
      <w:r>
        <w:t xml:space="preserve"> III Health </w:t>
      </w:r>
      <w:r>
        <w:rPr>
          <w:rFonts w:hint="eastAsia"/>
        </w:rPr>
        <w:t xml:space="preserve">Institute）通报，6月至少有1028人因高温死亡，是2025年同期407人的两倍多；荷兰在6月22日至28日一周内录得约480例额外死亡。极端高温也刷新了纪录——6月23日，法国皮索斯（Pissos）气温达到44.3°C，是自1947年有测量记录以来法国最热的一天。</w:t>
      </w:r>
    </w:p>
    <w:p>
      <w:pPr>
        <w:pStyle w:val="BodyText"/>
      </w:pPr>
      <w:r>
        <w:rPr>
          <w:rFonts w:hint="eastAsia"/>
        </w:rPr>
        <w:t xml:space="preserve">高温之下，责任追问随之而来。法国反对派已就政府“对气温上升准备不足”提出不信任动议。</w:t>
      </w:r>
    </w:p>
    <w:p>
      <w:pPr>
        <w:pStyle w:val="BodyText"/>
      </w:pPr>
      <w:r>
        <w:rPr>
          <w:b/>
          <w:bCs/>
        </w:rPr>
        <w:t xml:space="preserve">References</w:t>
      </w:r>
    </w:p>
    <w:p>
      <w:pPr>
        <w:pStyle w:val="BodyText"/>
      </w:pPr>
      <w:r>
        <w:t xml:space="preserve">[22] Euronews. (2026, July 3). Heatwave leaves Europe with thousands of excess deaths. Euronews. https://www.euronews.com/health/2026/07/03/heatwave-leaves-europe-with-thousands-of-excess-deaths</w:t>
      </w:r>
    </w:p>
    <w:p>
      <w:pPr>
        <w:pStyle w:val="BodyText"/>
      </w:pPr>
      <w:r>
        <w:t xml:space="preserve">[23] The Week. (2026, July 1). More than 1,000 dead in destructive heatwave in Europe as roads, traffic signs melt and temperature soars. The Week. https://www.theweek.in/news/world/2026/07/01/more-than-1000-dead-in-destructive-heatwave-in-europe-roads-traffic-signs-melt-temperature-soars.html</w:t>
      </w:r>
    </w:p>
    <w:p>
      <w:r>
        <w:pict>
          <v:rect style="width:0;height:1.5pt" o:hralign="center" o:hrstd="t" o:hr="t"/>
        </w:pict>
      </w:r>
    </w:p>
    <w:bookmarkEnd w:id="20"/>
    <w:bookmarkStart w:id="21" w:name="欧盟统计局发布2025年都柏林体系数据遣送申请降26"/>
    <w:p>
      <w:pPr>
        <w:pStyle w:val="Heading3"/>
      </w:pPr>
      <w:r>
        <w:rPr>
          <w:rFonts w:hint="eastAsia"/>
        </w:rPr>
        <w:t xml:space="preserve">欧盟统计局发布2025年都柏林体系数据，遣送申请降26%</w:t>
      </w:r>
    </w:p>
    <w:p>
      <w:pPr>
        <w:pStyle w:val="FirstParagraph"/>
      </w:pPr>
      <w:r>
        <w:rPr>
          <w:rFonts w:hint="eastAsia"/>
        </w:rPr>
        <w:t xml:space="preserve">欧盟统计局（Eurostat）7月3日发布2025年欧盟都柏林体系数据。成员国全年提交了111708份用于确定庇护责任归属的转出请求，较2024年的151830份下降26%。德国是最大的请求发出方，达35933份；拉脱维亚最少，仅23份。欧盟范围内收到的转入请求为115625份，同比下降31%，其中意大利收到最多，约24152份，爱沙尼亚最少，为88份。</w:t>
      </w:r>
    </w:p>
    <w:p>
      <w:pPr>
        <w:pStyle w:val="BodyText"/>
      </w:pPr>
      <w:r>
        <w:rPr>
          <w:rFonts w:hint="eastAsia"/>
        </w:rPr>
        <w:t xml:space="preserve">尽管请求数量大幅下降，实际执行的遣送却基本持平：转出遣送16620例，较2024年的16459例微降1%；转入遣送17406例，微增1%。这组数据发布的时点值得注意——就在三周前的6月12日，《移民与庇护新公约》已开始适用，取代了运行多年的都柏林体系。</w:t>
      </w:r>
    </w:p>
    <w:p>
      <w:pPr>
        <w:pStyle w:val="BodyText"/>
      </w:pPr>
      <w:r>
        <w:rPr>
          <w:b/>
          <w:bCs/>
        </w:rPr>
        <w:t xml:space="preserve">References</w:t>
      </w:r>
    </w:p>
    <w:p>
      <w:pPr>
        <w:pStyle w:val="BodyText"/>
      </w:pPr>
      <w:r>
        <w:t xml:space="preserve">[24] Eurostat. (2026, July 3). Dublin statistics on countries responsible for asylum applications, 2025. Eurostat. https://ec.europa.eu/eurostat/web/products-eurostat-news/w/ddn-20260703-1</w:t>
      </w:r>
    </w:p>
    <w:p>
      <w:r>
        <w:pict>
          <v:rect style="width:0;height:1.5pt" o:hralign="center" o:hrstd="t" o:hr="t"/>
        </w:pict>
      </w:r>
    </w:p>
    <w:bookmarkEnd w:id="21"/>
    <w:bookmarkStart w:id="22" w:name="科学家证实欧洲极端热浪出现概率较2003年高数十至数百倍"/>
    <w:p>
      <w:pPr>
        <w:pStyle w:val="Heading3"/>
      </w:pPr>
      <w:r>
        <w:rPr>
          <w:rFonts w:hint="eastAsia"/>
        </w:rPr>
        <w:t xml:space="preserve">科学家证实：欧洲极端热浪出现概率较2003年高数十至数百倍</w:t>
      </w:r>
    </w:p>
    <w:p>
      <w:pPr>
        <w:pStyle w:val="FirstParagraph"/>
      </w:pPr>
      <w:r>
        <w:rPr>
          <w:rFonts w:hint="eastAsia"/>
        </w:rPr>
        <w:t xml:space="preserve">半岛电视台7月3日的一篇专题报道援引世界天气归因组织（World</w:t>
      </w:r>
      <w:r>
        <w:t xml:space="preserve"> Weather </w:t>
      </w:r>
      <w:r>
        <w:rPr>
          <w:rFonts w:hint="eastAsia"/>
        </w:rPr>
        <w:t xml:space="preserve">Attribution）科学家的结论：如今欧洲的强热浪发生概率，比2003年高出“数十至数百倍”——2003年那场热浪曾在全欧洲夺走约7万人生命。自1980年代以来，欧洲的升温速度约为全球平均水平的两倍。</w:t>
      </w:r>
    </w:p>
    <w:p>
      <w:pPr>
        <w:pStyle w:val="BodyText"/>
      </w:pPr>
      <w:r>
        <w:rPr>
          <w:rFonts w:hint="eastAsia"/>
        </w:rPr>
        <w:t xml:space="preserve">在今年6月的热浪中，德国、捷克和波兰气温达到40°C（104°F），法国平均气温为29.8°C，峰值冲高至44°C。《柳叶刀倒计时·欧洲》（Lancet</w:t>
      </w:r>
      <w:r>
        <w:t xml:space="preserve"> Countdown </w:t>
      </w:r>
      <w:r>
        <w:rPr>
          <w:rFonts w:hint="eastAsia"/>
        </w:rPr>
        <w:t xml:space="preserve">Europe）2026年报告显示，2024年欧洲因高温相关原因死亡6.2万人；在826个受监测的欧洲地区中，有823个（99.6%）相比1991至2000年基准期出现了高温相关死亡的上升。</w:t>
      </w:r>
    </w:p>
    <w:p>
      <w:pPr>
        <w:pStyle w:val="BodyText"/>
      </w:pPr>
      <w:r>
        <w:rPr>
          <w:rFonts w:hint="eastAsia"/>
        </w:rPr>
        <w:t xml:space="preserve">世界卫生组织欧洲区主任汉斯·克卢格（Hans</w:t>
      </w:r>
      <w:r>
        <w:t xml:space="preserve"> </w:t>
      </w:r>
      <w:r>
        <w:rPr>
          <w:rFonts w:hint="eastAsia"/>
        </w:rPr>
        <w:t xml:space="preserve">Kluge）表示：“在欧洲不断变暖的气候中，高温相关死亡很可能将成为一种常态。”雷丁大学的阿克沙伊·德奥拉斯（Akshay</w:t>
      </w:r>
      <w:r>
        <w:t xml:space="preserve"> </w:t>
      </w:r>
      <w:r>
        <w:rPr>
          <w:rFonts w:hint="eastAsia"/>
        </w:rPr>
        <w:t xml:space="preserve">Deoras）博士打了个比方：“可以把它想象成一场赛跑，起跑线已被大幅挪近了终点。”雷丁大学教授汉娜·克洛克（Hannah</w:t>
      </w:r>
      <w:r>
        <w:t xml:space="preserve"> </w:t>
      </w:r>
      <w:r>
        <w:rPr>
          <w:rFonts w:hint="eastAsia"/>
        </w:rPr>
        <w:t xml:space="preserve">Cloke）则强调：“每减少一吨排放，都会改变接下来会发生什么的概率。”</w:t>
      </w:r>
    </w:p>
    <w:p>
      <w:pPr>
        <w:pStyle w:val="BodyText"/>
      </w:pPr>
      <w:r>
        <w:rPr>
          <w:b/>
          <w:bCs/>
        </w:rPr>
        <w:t xml:space="preserve">References</w:t>
      </w:r>
    </w:p>
    <w:p>
      <w:pPr>
        <w:pStyle w:val="BodyText"/>
      </w:pPr>
      <w:r>
        <w:t xml:space="preserve">[25] Al Jazeera. (2026, July 3). Are Europe’s extreme summers the new normal? What the science says. Al Jazeera. https://www.aljazeera.com/features/2026/7/3/are-europes-extreme-summers-the-new-normal-what-the-science-says</w:t>
      </w:r>
    </w:p>
    <w:p>
      <w:pPr>
        <w:pStyle w:val="BodyText"/>
      </w:pPr>
      <w:r>
        <w:t xml:space="preserve">[26] World Weather Attribution. (2026, July 3). Fossil fuel emissions have rapidly worsened European heatwaves in just a few decades. World Weather Attribution. https://www.worldweatherattribution.org/fossil-fuel-emissions-have-rapidly-worsened-european-heatwaves-in-just-a-few-decades/</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欧洲私募股权上半年交易额增8.6至3197亿欧元交易数量却下滑"/>
    <w:p>
      <w:pPr>
        <w:pStyle w:val="Heading3"/>
      </w:pPr>
      <w:r>
        <w:rPr>
          <w:rFonts w:hint="eastAsia"/>
        </w:rPr>
        <w:t xml:space="preserve">欧洲私募股权上半年交易额增8.6%至3197亿欧元，交易数量却下滑</w:t>
      </w:r>
    </w:p>
    <w:p>
      <w:pPr>
        <w:pStyle w:val="FirstParagraph"/>
      </w:pPr>
      <w:r>
        <w:rPr>
          <w:rFonts w:hint="eastAsia"/>
        </w:rPr>
        <w:t xml:space="preserve">据科技融资媒体Tech</w:t>
      </w:r>
      <w:r>
        <w:t xml:space="preserve"> Funding News </w:t>
      </w:r>
      <w:r>
        <w:rPr>
          <w:rFonts w:hint="eastAsia"/>
        </w:rPr>
        <w:t xml:space="preserve">7月3日援引PitchBook数据，欧洲私募股权（PE）2026年上半年交易总额达到3197亿欧元，较去年同期的2944亿欧元增长8.6%。但交易数量反而从4399宗降至4202宗，下滑4.5%——这意味着交易“数量更少、单笔更大”，平均单笔交易规模从约6690万欧元升至约7610万欧元。</w:t>
      </w:r>
    </w:p>
    <w:p>
      <w:pPr>
        <w:pStyle w:val="BodyText"/>
      </w:pPr>
      <w:r>
        <w:rPr>
          <w:rFonts w:hint="eastAsia"/>
        </w:rPr>
        <w:t xml:space="preserve">在中东冲突与能源成本上升的双重逆风下，欧洲私募股权的交易额仍保持坚挺。报道称，出资方“采取了更为审慎的姿态，通过分散风险和整合已有头寸来应对”，转向更大体量、更精挑细选的交易。</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[27] Chesnokova, S. (2026, July 3). European private equity deal value hit €319.7B in H1 2026, but the number of deals fell. Here’s why. Tech Funding News. https://techfundingnews.com/european-private-equity-deal-value-hit-e319-7b-in-h1-2026-but-the-number-of-deals-fell-heres-why/</w:t>
      </w:r>
    </w:p>
    <w:p>
      <w:pPr>
        <w:pStyle w:val="BodyText"/>
      </w:pPr>
      <w:r>
        <w:t xml:space="preserve">[28] PitchBook. (2026, July 3). European private equity data, H1 2026. PitchBook. https://pitchbook.com/</w:t>
      </w:r>
    </w:p>
    <w:p>
      <w:r>
        <w:pict>
          <v:rect style="width:0;height:1.5pt" o:hralign="center" o:hrstd="t" o:hr="t"/>
        </w:pict>
      </w:r>
    </w:p>
    <w:bookmarkEnd w:id="24"/>
    <w:bookmarkEnd w:id="25"/>
    <w:bookmarkStart w:id="28" w:name="六其他重要事件"/>
    <w:p>
      <w:pPr>
        <w:pStyle w:val="Heading2"/>
      </w:pPr>
      <w:r>
        <w:rPr>
          <w:rFonts w:hint="eastAsia"/>
        </w:rPr>
        <w:t xml:space="preserve">六、其他重要事件</w:t>
      </w:r>
    </w:p>
    <w:bookmarkStart w:id="26" w:name="乌克兰不对称无人机打击俄炼油厂战场叙事生变"/>
    <w:p>
      <w:pPr>
        <w:pStyle w:val="Heading3"/>
      </w:pPr>
      <w:r>
        <w:rPr>
          <w:rFonts w:hint="eastAsia"/>
        </w:rPr>
        <w:t xml:space="preserve">乌克兰不对称无人机打击俄炼油厂，战场叙事生变</w:t>
      </w:r>
    </w:p>
    <w:p>
      <w:pPr>
        <w:pStyle w:val="FirstParagraph"/>
      </w:pPr>
      <w:r>
        <w:rPr>
          <w:rFonts w:hint="eastAsia"/>
        </w:rPr>
        <w:t xml:space="preserve">半岛电视台7月3日报道，乌克兰转向对俄罗斯炼油厂和燃料库发动远程不对称无人机打击，在俄罗斯多地造成全国性燃料短缺。克里姆林宫媒体人物弗拉基米尔·索洛维约夫（Vladimir</w:t>
      </w:r>
      <w:r>
        <w:t xml:space="preserve"> </w:t>
      </w:r>
      <w:r>
        <w:rPr>
          <w:rFonts w:hint="eastAsia"/>
        </w:rPr>
        <w:t xml:space="preserve">Solovyov）在6月中旬承认困难，称：“我们必须为艰难和自我牺牲做好准备。”</w:t>
      </w:r>
    </w:p>
    <w:p>
      <w:pPr>
        <w:pStyle w:val="BodyText"/>
      </w:pPr>
      <w:r>
        <w:rPr>
          <w:rFonts w:hint="eastAsia"/>
        </w:rPr>
        <w:t xml:space="preserve">打击行动仍在升级。7月3日，乌克兰安全局（SBU）称在袭击俄占克里米亚萨基（Saky）机场的行动中，无人机摧毁或损坏了七架军机，包括Su-30SM、Su-30和Su-24战机；乌军还摧毁了别尔哥罗德为米丘林斯卡娅热电厂供电的一座变电站。</w:t>
      </w:r>
    </w:p>
    <w:p>
      <w:pPr>
        <w:pStyle w:val="BodyText"/>
      </w:pPr>
      <w:r>
        <w:rPr>
          <w:rFonts w:hint="eastAsia"/>
        </w:rPr>
        <w:t xml:space="preserve">这些行动紧随7月2日俄军对基辅发动的今年最致命空袭——那次空袭造成至少五名平民死亡，促使乌克兰敦促北约盟友加快交付防空系统，这一议题预计将主导7月7日至8日举行的北约安卡拉峰会。军事分析人士尼古拉·米特罗欣（Nikolay</w:t>
      </w:r>
      <w:r>
        <w:t xml:space="preserve"> </w:t>
      </w:r>
      <w:r>
        <w:rPr>
          <w:rFonts w:hint="eastAsia"/>
        </w:rPr>
        <w:t xml:space="preserve">Mitrokhin）指出：“俄罗斯在无人机和伊斯坎德尔（Iskander）导弹上投入巨大，却缺乏像铠甲（Pantsir）这样足以保卫其领土的防空系统。”</w:t>
      </w:r>
    </w:p>
    <w:p>
      <w:pPr>
        <w:pStyle w:val="BodyText"/>
      </w:pPr>
      <w:r>
        <w:rPr>
          <w:b/>
          <w:bCs/>
        </w:rPr>
        <w:t xml:space="preserve">References</w:t>
      </w:r>
    </w:p>
    <w:p>
      <w:pPr>
        <w:pStyle w:val="BodyText"/>
      </w:pPr>
      <w:r>
        <w:t xml:space="preserve">[29] Al Jazeera. (2026, July 3). Russia’s triumphant tone shifts as Ukraine deploys asymmetrical tactics. Al Jazeera. https://www.aljazeera.com/news/2026/7/3/russias-triumphant-tone-shifts-as-ukraine-deploys-asymmetrical-tactics</w:t>
      </w:r>
    </w:p>
    <w:p>
      <w:r>
        <w:pict>
          <v:rect style="width:0;height:1.5pt" o:hralign="center" o:hrstd="t" o:hr="t"/>
        </w:pict>
      </w:r>
    </w:p>
    <w:bookmarkEnd w:id="26"/>
    <w:bookmarkStart w:id="27" w:name="德国主帅纳格尔斯曼世界杯出局后辞职德国足协属意克洛普"/>
    <w:p>
      <w:pPr>
        <w:pStyle w:val="Heading3"/>
      </w:pPr>
      <w:r>
        <w:rPr>
          <w:rFonts w:hint="eastAsia"/>
        </w:rPr>
        <w:t xml:space="preserve">德国主帅纳格尔斯曼世界杯出局后辞职，德国足协属意克洛普</w:t>
      </w:r>
    </w:p>
    <w:p>
      <w:pPr>
        <w:pStyle w:val="FirstParagraph"/>
      </w:pPr>
      <w:r>
        <w:rPr>
          <w:rFonts w:hint="eastAsia"/>
        </w:rPr>
        <w:t xml:space="preserve">38岁的德国国家队主帅尤利安·纳格尔斯曼（Julian</w:t>
      </w:r>
      <w:r>
        <w:t xml:space="preserve"> </w:t>
      </w:r>
      <w:r>
        <w:rPr>
          <w:rFonts w:hint="eastAsia"/>
        </w:rPr>
        <w:t xml:space="preserve">Nagelsmann）7月3日正式辞职。此前，德国队在6月29日于波士顿举行的2026年世界杯三十二强赛中，以点球大战3比4爆冷不敌巴拉圭，这是德国队自1938年以来首次未能闯过三十二强。据悉，一场约三个半小时的德国足协（DFB）高层会议以强烈建议他辞职告终；据德国小报《图片报》（Bild），纳格尔斯曼获得了700万欧元的离职补偿。</w:t>
      </w:r>
    </w:p>
    <w:p>
      <w:pPr>
        <w:pStyle w:val="BodyText"/>
      </w:pPr>
      <w:r>
        <w:rPr>
          <w:rFonts w:hint="eastAsia"/>
        </w:rPr>
        <w:t xml:space="preserve">德国足协属意的接任人选是59岁的于尔根·克洛普（Jürgen</w:t>
      </w:r>
      <w:r>
        <w:t xml:space="preserve"> </w:t>
      </w:r>
      <w:r>
        <w:rPr>
          <w:rFonts w:hint="eastAsia"/>
        </w:rPr>
        <w:t xml:space="preserve">Klopp），这位前利物浦、多特蒙德和美因茨主帅据报已表示“原则上愿意”接手。作为四届世界杯冠军得主，德国队自2014年后再未夺冠。德国足协主席贝恩德·诺伊恩多夫（Bernd</w:t>
      </w:r>
      <w:r>
        <w:t xml:space="preserve"> </w:t>
      </w:r>
      <w:r>
        <w:rPr>
          <w:rFonts w:hint="eastAsia"/>
        </w:rPr>
        <w:t xml:space="preserve">Neuendorf）表示：“在经历如此惨痛的挫折、并考虑到未来的挑战之后，我们不能也不会简单地一切照旧。”</w:t>
      </w:r>
    </w:p>
    <w:p>
      <w:pPr>
        <w:pStyle w:val="BodyText"/>
      </w:pPr>
      <w:r>
        <w:rPr>
          <w:b/>
          <w:bCs/>
        </w:rPr>
        <w:t xml:space="preserve">References</w:t>
      </w:r>
    </w:p>
    <w:p>
      <w:pPr>
        <w:pStyle w:val="BodyText"/>
      </w:pPr>
      <w:r>
        <w:t xml:space="preserve">[30] Al Jazeera. (2026, July 3). Nagelsmann steps down as Germany coach after early World Cup 2026 exit. Al Jazeera. https://www.aljazeera.com/sports/2026/7/3/nagelsmann-steps-down-germany-coach-klopp-paraguay-world-cup-round-of-32</w:t>
      </w:r>
    </w:p>
    <w:p>
      <w:pPr>
        <w:pStyle w:val="BodyText"/>
      </w:pPr>
      <w:r>
        <w:t xml:space="preserve">[31] ANI News. (2026, July 3). FIFA World Cup 2026: Coach Julian Nagelsmann resigns after Germany’s shock R32 exit. ANI News. https://www.aninews.in/news/sports/football/fifa-world-cup-2026-coach-julian-nagelsmann-resigns-after-germanys-shock-r32-exit20260703112728/</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2026-07-03T13:05:22Z</dcterms:created>
  <dcterms:modified xsi:type="dcterms:W3CDTF">2026-07-03T13:05:22Z</dcterms:modified>
</cp:coreProperties>
</file>

<file path=docProps/custom.xml><?xml version="1.0" encoding="utf-8"?>
<Properties xmlns="http://schemas.openxmlformats.org/officeDocument/2006/custom-properties" xmlns:vt="http://schemas.openxmlformats.org/officeDocument/2006/docPropsVTypes"/>
</file>