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bc142ac29aacfea1e965e3deeffea3cdd167ea"/>
    <w:p>
      <w:pPr>
        <w:pStyle w:val="Heading1"/>
      </w:pPr>
      <w:r>
        <w:t xml:space="preserve">Europe Daily News Intelligence — July 3, 2026</w:t>
      </w:r>
    </w:p>
    <w:bookmarkStart w:id="13" w:name="economy-markets"/>
    <w:p>
      <w:pPr>
        <w:pStyle w:val="Heading2"/>
      </w:pPr>
      <w:r>
        <w:t xml:space="preserve">1. Economy &amp; Markets</w:t>
      </w:r>
    </w:p>
    <w:bookmarkStart w:id="9" w:name="Xfea0c24cc7c91e4ed6ef8a3961cd524eb3f206c"/>
    <w:p>
      <w:pPr>
        <w:pStyle w:val="Heading3"/>
      </w:pPr>
      <w:r>
        <w:t xml:space="preserve">Eurozone composite PMI reaches 50.0 in June as services contraction eases and inflation cools</w:t>
      </w:r>
    </w:p>
    <w:p>
      <w:pPr>
        <w:pStyle w:val="FirstParagraph"/>
      </w:pPr>
      <w:r>
        <w:t xml:space="preserve">The S&amp;P Global/HCOB Eurozone Composite PMI climbed to 50.0 in June 2026, the reading that separates growth from decline, ending two straight months below the line. Released on 3 July 2026, the final figure was an upward revision from the flash estimate of 49.5 and a clear step up from 48.5 in May. Anything at 50 signals an economy that has stopped shrinking without yet expanding, but the composition of the improvement told the more useful story.</w:t>
      </w:r>
    </w:p>
    <w:p>
      <w:pPr>
        <w:pStyle w:val="BodyText"/>
      </w:pPr>
      <w:r>
        <w:t xml:space="preserve">Services did most of the lifting. The services PMI rose to 49.4 from 47.7 in May, above the preliminary estimate of 48.9, while manufacturing output held its ground at 51.4 against May’s 51.3. The turn in services matters because it accounts for the bulk of eurozone output and employment, and firms there added staff at the fastest pace since January 2026.</w:t>
      </w:r>
    </w:p>
    <w:p>
      <w:pPr>
        <w:pStyle w:val="BodyText"/>
      </w:pPr>
      <w:r>
        <w:t xml:space="preserve">Cost pressures collapsed. Survey respondents reported services input cost inflation falling at the steepest rate since records began in 1998, barring only the COVID-19 lockdowns. Cheaper energy was the driver, as easing tension over the Strait of Hormuz pulled oil prices back. That fed directly into the wider price picture: eurozone annual inflation stood at 2.8% in June, according to Eurostat’s flash estimate on 1 July, well below the 3.2% recorded in May and back within touching distance of the European Central Bank’s 2% target. National divergence persisted, with Italy, Spain and Ireland above 50 while Germany and France stayed in contraction, though both moderated.</w:t>
      </w:r>
    </w:p>
    <w:p>
      <w:pPr>
        <w:pStyle w:val="BodyText"/>
      </w:pPr>
      <w:r>
        <w:rPr>
          <w:b/>
          <w:bCs/>
        </w:rPr>
        <w:t xml:space="preserve">References</w:t>
      </w:r>
    </w:p>
    <w:p>
      <w:pPr>
        <w:pStyle w:val="BodyText"/>
      </w:pPr>
      <w:r>
        <w:t xml:space="preserve">[1] Reuters. (2026, July 3). Euro zone services sector contraction eased in June as inflation cooled sharply, PMI shows. Investing.com. https://www.investing.com/news/economic-indicators/euro-zone-services-sector-contraction-eased-in-june-as-inflation-cooled-sharply-pmi-shows-4775092</w:t>
      </w:r>
    </w:p>
    <w:p>
      <w:pPr>
        <w:pStyle w:val="BodyText"/>
      </w:pPr>
      <w:r>
        <w:t xml:space="preserve">[2] S&amp;P Global. (2026). HCOB Eurozone Composite PMI. https://www.pmi.spglobal.com/</w:t>
      </w:r>
    </w:p>
    <w:p>
      <w:pPr>
        <w:pStyle w:val="BodyText"/>
      </w:pPr>
      <w:r>
        <w:t xml:space="preserve">[3] Trading Economics. (2026). Euro Area Composite PMI. https://tradingeconomics.com/euro-area/composite-pmi</w:t>
      </w:r>
    </w:p>
    <w:p>
      <w:r>
        <w:pict>
          <v:rect style="width:0;height:1.5pt" o:hralign="center" o:hrstd="t" o:hr="t"/>
        </w:pict>
      </w:r>
    </w:p>
    <w:bookmarkEnd w:id="9"/>
    <w:bookmarkStart w:id="10" w:name="X2371e57e08a90dd0502b8554af79140d2ef021e"/>
    <w:p>
      <w:pPr>
        <w:pStyle w:val="Heading3"/>
      </w:pPr>
      <w:r>
        <w:t xml:space="preserve">ECB reports eurozone current account surplus shrank to €275 billion in year to Q1 2026</w:t>
      </w:r>
    </w:p>
    <w:p>
      <w:pPr>
        <w:pStyle w:val="FirstParagraph"/>
      </w:pPr>
      <w:r>
        <w:t xml:space="preserve">The European Central Bank published the euro area quarterly balance of payments for Q1 2026 on 3 July 2026, showing the bloc’s four-quarter cumulative current account surplus falling to €275 billion, or 1.7% of GDP, from €352 billion, or 2.3%, a year earlier. The current account tracks the gap between what the eurozone earns abroad and what it pays out, and a narrower surplus means that cushion is thinning.</w:t>
      </w:r>
    </w:p>
    <w:p>
      <w:pPr>
        <w:pStyle w:val="BodyText"/>
      </w:pPr>
      <w:r>
        <w:t xml:space="preserve">The retreat came almost entirely from trade. The goods surplus contracted from €344 billion to €313 billion, and the services surplus declined from €169 billion to €149 billion. Income flows barely moved, with the primary income surplus edging from €11 billion to €10 billion, while the secondary income deficit, which captures transfers such as remittances and EU budget contributions, widened from €171 billion to €197 billion.</w:t>
      </w:r>
    </w:p>
    <w:p>
      <w:pPr>
        <w:pStyle w:val="BodyText"/>
      </w:pPr>
      <w:r>
        <w:t xml:space="preserve">The bilateral breakdown underscored the eurozone’s shifting trade map. Its largest surplus was recorded with the United Kingdom at €236 billion, up from €217 billion a year earlier, while its largest deficit was with China at €170 billion. On the stock side, the eurozone’s net external assets rose to €1.80 trillion, or 11.2% of GDP, an increase of €147 billion from the €1.65 trillion booked in Q4 2025, while gross external debt reached €17.53 trillion, equivalent to 109% of eurozone GDP.</w:t>
      </w:r>
    </w:p>
    <w:p>
      <w:pPr>
        <w:pStyle w:val="BodyText"/>
      </w:pPr>
      <w:r>
        <w:rPr>
          <w:b/>
          <w:bCs/>
        </w:rPr>
        <w:t xml:space="preserve">References</w:t>
      </w:r>
    </w:p>
    <w:p>
      <w:pPr>
        <w:pStyle w:val="BodyText"/>
      </w:pPr>
      <w:r>
        <w:t xml:space="preserve">[4] European Central Bank. (2026, July 3). Euro area quarterly balance of payments and international investment position: first quarter of 2026. ECB. https://www.ecb.europa.eu/press/stats/bop/2026/html/ecb.bq260703~7d2888b3ee.en.html</w:t>
      </w:r>
    </w:p>
    <w:p>
      <w:pPr>
        <w:pStyle w:val="BodyText"/>
      </w:pPr>
      <w:r>
        <w:t xml:space="preserve">[5] European Central Bank. (2026). Balance of payments and international investment position. ECB. https://www.ecb.europa.eu/stats/balance_of_payments_and_external/balance_of_payments/html/index.en.html</w:t>
      </w:r>
    </w:p>
    <w:p>
      <w:r>
        <w:pict>
          <v:rect style="width:0;height:1.5pt" o:hralign="center" o:hrstd="t" o:hr="t"/>
        </w:pict>
      </w:r>
    </w:p>
    <w:bookmarkEnd w:id="10"/>
    <w:bookmarkStart w:id="11" w:name="X0023939c360522e767836df18296cdbd8eb3003"/>
    <w:p>
      <w:pPr>
        <w:pStyle w:val="Heading3"/>
      </w:pPr>
      <w:r>
        <w:t xml:space="preserve">Eurostat says euro area household saving rate held at 14.3% in Q1 2026 as corporate profits slipped</w:t>
      </w:r>
    </w:p>
    <w:p>
      <w:pPr>
        <w:pStyle w:val="FirstParagraph"/>
      </w:pPr>
      <w:r>
        <w:t xml:space="preserve">Households in the euro area kept 14.3% of their disposable income aside in the first quarter of 2026, unchanged from the previous quarter, according to the first quarterly sector accounts Eurostat published on 3 July 2026. The stability is telling: household consumption and gross disposable income grew at roughly the same rate, 0.8% and 0.7% respectively, so families spent their income gains rather than banking or drawing down more of them. The dataset now covers the EA21, including Bulgaria as of January 2026.</w:t>
      </w:r>
    </w:p>
    <w:p>
      <w:pPr>
        <w:pStyle w:val="BodyText"/>
      </w:pPr>
      <w:r>
        <w:t xml:space="preserve">Behind the steady headline, the balance between households and business shifted. The household investment rate fell slightly from 8.6% to 8.5%, while the corporate profit share declined from 39.7% to 38.6%. Companies leaned into capital spending regardless, with the non-financial corporate investment rate rising from 21.7% to 22.2% even as their gross value added contracted by 0.9% — a squeeze on margins met by continued outlay rather than retrenchment.</w:t>
      </w:r>
    </w:p>
    <w:p>
      <w:pPr>
        <w:pStyle w:val="BodyText"/>
      </w:pPr>
      <w:r>
        <w:t xml:space="preserve">A separate Eurostat release the same day put the EU’s seasonally adjusted current account surplus at €113.4 billion in Q1 2026, or 2.4% of GDP, up from €99.2 billion in Q4 2025 and €104.9 billion in Q1 2025. Germany led member states with a €61.8 billion surplus, while the largest bilateral deficit was with China at €66.3 billion.</w:t>
      </w:r>
    </w:p>
    <w:p>
      <w:pPr>
        <w:pStyle w:val="BodyText"/>
      </w:pPr>
      <w:r>
        <w:rPr>
          <w:b/>
          <w:bCs/>
        </w:rPr>
        <w:t xml:space="preserve">References</w:t>
      </w:r>
    </w:p>
    <w:p>
      <w:pPr>
        <w:pStyle w:val="BodyText"/>
      </w:pPr>
      <w:r>
        <w:t xml:space="preserve">[6] Eurostat. (2026, July 3). Quarterly sector accounts: household saving rate and corporate profit share, first quarter 2026. European Commission. https://ec.europa.eu/eurostat/web/products-euro-indicators/w/2-03072026-ap</w:t>
      </w:r>
    </w:p>
    <w:p>
      <w:pPr>
        <w:pStyle w:val="BodyText"/>
      </w:pPr>
      <w:r>
        <w:t xml:space="preserve">[7] Eurostat. (2026, July 3). Euro area and EU current account, first quarter 2026. European Commission. https://ec.europa.eu/eurostat/web/products-euro-indicators/w/2-03072026-bp</w:t>
      </w:r>
    </w:p>
    <w:p>
      <w:r>
        <w:pict>
          <v:rect style="width:0;height:1.5pt" o:hralign="center" o:hrstd="t" o:hr="t"/>
        </w:pict>
      </w:r>
    </w:p>
    <w:bookmarkEnd w:id="11"/>
    <w:bookmarkStart w:id="12" w:name="X4de366c811f012d656140aa8211a730b386535d"/>
    <w:p>
      <w:pPr>
        <w:pStyle w:val="Heading3"/>
      </w:pPr>
      <w:r>
        <w:t xml:space="preserve">EU Commission adopts revised ESRS, cutting mandatory reporting datapoints by more than 60%</w:t>
      </w:r>
    </w:p>
    <w:p>
      <w:pPr>
        <w:pStyle w:val="FirstParagraph"/>
      </w:pPr>
      <w:r>
        <w:t xml:space="preserve">The European Commission formally adopted revised European Sustainability Reporting Standards (ESRS) on 3 July 2026, stripping out more than 60% of the mandatory datapoints and more than 70% of total datapoints compared with the 2023 standards. Per-company reporting costs are expected to fall by more than 30%. The overhaul is the centrepiece of the Omnibus I simplification package, the drive launched in February 2025 to lighten the compliance load that businesses and several member governments had argued was blunting EU competitiveness.</w:t>
      </w:r>
    </w:p>
    <w:p>
      <w:pPr>
        <w:pStyle w:val="BodyText"/>
      </w:pPr>
      <w:r>
        <w:t xml:space="preserve">The revised standards still cover climate change, biodiversity and human rights, but ask for far less granular disclosure. Alongside them the Commission introduced a new voluntary reporting standard for firms that fall outside the scope of the Corporate Sustainability Reporting Directive (CSRD) — the smaller companies that Omnibus I also removed from mandatory reporting when it raised thresholds to firms with more than 1,000 employees. A</w:t>
      </w:r>
      <w:r>
        <w:t xml:space="preserve"> </w:t>
      </w:r>
      <w:r>
        <w:t xml:space="preserve">“value chain cap”</w:t>
      </w:r>
      <w:r>
        <w:t xml:space="preserve"> </w:t>
      </w:r>
      <w:r>
        <w:t xml:space="preserve">reinforces that protection by barring CSRD-scope companies from demanding more information from their suppliers than the voluntary standard requires.</w:t>
      </w:r>
    </w:p>
    <w:p>
      <w:pPr>
        <w:pStyle w:val="BodyText"/>
      </w:pPr>
      <w:r>
        <w:t xml:space="preserve">The rewrite incorporates technical advice from EFRAG, the Commission’s standards adviser, following a spring 2025 stakeholder consultation. As delegated acts, the revised standards now go to the European Parliament and Council of the EU for a 2-month scrutiny period, extendable by a further 2 months, before they can take effect.</w:t>
      </w:r>
    </w:p>
    <w:p>
      <w:pPr>
        <w:pStyle w:val="BodyText"/>
      </w:pPr>
      <w:r>
        <w:rPr>
          <w:b/>
          <w:bCs/>
        </w:rPr>
        <w:t xml:space="preserve">References</w:t>
      </w:r>
    </w:p>
    <w:p>
      <w:pPr>
        <w:pStyle w:val="BodyText"/>
      </w:pPr>
      <w:r>
        <w:t xml:space="preserve">[8] European Commission. (2026, July 3). Commission adopts revised sustainability reporting standards to reduce administrative burdens in the EU. European Commission. https://finance.ec.europa.eu/news/commission-adopts-revised-sustainability-reporting-standards-reduce-administrative-burdens-eu-2026-07-03_en</w:t>
      </w:r>
    </w:p>
    <w:p>
      <w:pPr>
        <w:pStyle w:val="BodyText"/>
      </w:pPr>
      <w:r>
        <w:t xml:space="preserve">[9] Council of the European Union. (2026, February 24). Council signs off simplification of sustainability reporting and due diligence requirements to boost EU competitiveness. Consilium. https://www.consilium.europa.eu/en/press/press-releases/2026/02/24/council-signs-off-simplification-of-sustainability-reporting-and-due-diligence-requirements-to-boost-eu-competitiveness/</w:t>
      </w:r>
    </w:p>
    <w:p>
      <w:r>
        <w:pict>
          <v:rect style="width:0;height:1.5pt" o:hralign="center" o:hrstd="t" o:hr="t"/>
        </w:pict>
      </w:r>
    </w:p>
    <w:bookmarkEnd w:id="12"/>
    <w:bookmarkEnd w:id="13"/>
    <w:bookmarkStart w:id="16" w:name="politics-diplomacy"/>
    <w:p>
      <w:pPr>
        <w:pStyle w:val="Heading2"/>
      </w:pPr>
      <w:r>
        <w:t xml:space="preserve">2. Politics &amp; Diplomacy</w:t>
      </w:r>
    </w:p>
    <w:bookmarkStart w:id="14" w:name="X1d4a15866895ecdd9df2cc004c959124711576a"/>
    <w:p>
      <w:pPr>
        <w:pStyle w:val="Heading3"/>
      </w:pPr>
      <w:r>
        <w:t xml:space="preserve">Moldova’s prime minister Munteanu resigns after eight months, triggering government collapse</w:t>
      </w:r>
    </w:p>
    <w:p>
      <w:pPr>
        <w:pStyle w:val="FirstParagraph"/>
      </w:pPr>
      <w:r>
        <w:t xml:space="preserve">Alexandru Munteanu, Moldova’s prime minister since November 2025, resigned on 3 July 2026, saying he could no longer govern in accordance with his principles and convictions. Under Moldovan rules his departure automatically pulled down the entire cabinet, ending a government that had been in post for approximately eight months. Munteanu, an economist and former World Bank official, had been installed after the pro-European Party of Action and Solidarity (PAS) of President Maia Sandu won the September 2025 parliamentary elections, taking a clear majority in a vote Sandu had called the most important in the country’s history and one marked by documented Russian interference.</w:t>
      </w:r>
    </w:p>
    <w:p>
      <w:pPr>
        <w:pStyle w:val="BodyText"/>
      </w:pPr>
      <w:r>
        <w:t xml:space="preserve">The collapse arrived at an awkward moment. Munteanu’s exit came amid scrutiny of alleged irregularities at the state-owned air navigation service provider MoldATSA, including an executive with a falsified CV and a presidential cousin appointed to a public relations role at a salary eight times Moldova’s median wage. President Sandu pushed back on suggestions the premier had been hamstrung, insisting</w:t>
      </w:r>
      <w:r>
        <w:t xml:space="preserve"> </w:t>
      </w:r>
      <w:r>
        <w:t xml:space="preserve">“The Prime Minister had a free hand to lead the government as he saw fit.”</w:t>
      </w:r>
    </w:p>
    <w:p>
      <w:pPr>
        <w:pStyle w:val="BodyText"/>
      </w:pPr>
      <w:r>
        <w:t xml:space="preserve">The stakes run beyond one cabinet. Moldova’s EU accession process was formally launched only weeks earlier, on 15 June 2026, with the opening of accession talks in Luxembourg. Sandu moved to reassure Brussels and voters alike, declaring</w:t>
      </w:r>
      <w:r>
        <w:t xml:space="preserve"> </w:t>
      </w:r>
      <w:r>
        <w:t xml:space="preserve">“Moldova’s path remains unchanged: reforms and EU accession,”</w:t>
      </w:r>
      <w:r>
        <w:t xml:space="preserve"> </w:t>
      </w:r>
      <w:r>
        <w:t xml:space="preserve">and said she would hold consultations with parliamentary groups next week. Munteanu stays on in a caretaker capacity until a new government is formed.</w:t>
      </w:r>
    </w:p>
    <w:p>
      <w:pPr>
        <w:pStyle w:val="BodyText"/>
      </w:pPr>
      <w:r>
        <w:rPr>
          <w:b/>
          <w:bCs/>
        </w:rPr>
        <w:t xml:space="preserve">References</w:t>
      </w:r>
    </w:p>
    <w:p>
      <w:pPr>
        <w:pStyle w:val="BodyText"/>
      </w:pPr>
      <w:r>
        <w:t xml:space="preserve">[10] Al Jazeera. (2026, July 3). Moldova’s prime minister quits, triggering government’s resignation. Al Jazeera. https://www.aljazeera.com/news/2026/7/3/moldovas-prime-minister-quits-triggering-governments-resignation</w:t>
      </w:r>
    </w:p>
    <w:p>
      <w:pPr>
        <w:pStyle w:val="BodyText"/>
      </w:pPr>
      <w:r>
        <w:t xml:space="preserve">[11] Euronews. (2026, July 3). Moldovan prime minister Alexandru Munteanu resigns after eight months in office. Euronews. https://www.euronews.com/my-europe/2026/07/03/moldovan-prime-minister-alexandru-munteanu-resigns-after-eight-months-in-office</w:t>
      </w:r>
    </w:p>
    <w:p>
      <w:pPr>
        <w:pStyle w:val="BodyText"/>
      </w:pPr>
      <w:r>
        <w:t xml:space="preserve">[12] Washington Post. (2026, July 3). Moldova’s prime minister resigns, collapsing pro-EU government. Washington Post. https://www.washingtonpost.com/world/2026/07/03/moldova-prime-minister-resignation-alexandru-munteanu-sandu/821484b6-76bf-11f1-b665-5f8be87f3787_story.html</w:t>
      </w:r>
    </w:p>
    <w:p>
      <w:pPr>
        <w:pStyle w:val="BodyText"/>
      </w:pPr>
      <w:r>
        <w:t xml:space="preserve">[13] Balkan Insight. (2026, July 3). Moldova PM steps down abruptly as corruption scandals unfold. Balkan Insight. https://balkaninsight.com/2026/07/03/moldova-pm-steps-down-abruptly-as-corruption-scandals-unfold/bi/</w:t>
      </w:r>
    </w:p>
    <w:p>
      <w:pPr>
        <w:pStyle w:val="BodyText"/>
      </w:pPr>
      <w:r>
        <w:t xml:space="preserve">[14] Atlantic Council. (2025, September 29). Moldova’s pro-EU ruling party won despite Russian interference. Now what? Atlantic Council. https://www.atlanticcouncil.org/content-series/fastthinking/moldovas-pro-eu-ruling-party-won-despite-russian-interference-now-what/</w:t>
      </w:r>
    </w:p>
    <w:p>
      <w:r>
        <w:pict>
          <v:rect style="width:0;height:1.5pt" o:hralign="center" o:hrstd="t" o:hr="t"/>
        </w:pict>
      </w:r>
    </w:p>
    <w:bookmarkEnd w:id="14"/>
    <w:bookmarkStart w:id="15" w:name="Xa5d13312e75688314bcbe00eba035526c1e271d"/>
    <w:p>
      <w:pPr>
        <w:pStyle w:val="Heading3"/>
      </w:pPr>
      <w:r>
        <w:t xml:space="preserve">EPPO raids four EU countries over alleged €4.3 million misuse of Parliament funds by far-right ID group</w:t>
      </w:r>
    </w:p>
    <w:p>
      <w:pPr>
        <w:pStyle w:val="FirstParagraph"/>
      </w:pPr>
      <w:r>
        <w:t xml:space="preserve">The European Public Prosecutor’s Office (EPPO) conducted coordinated investigative raids across France, Spain, Italy and Belgium on 3 July 2026, probing the alleged misuse of €4.3 million in EU Parliament funds by the Identity and Democracy (ID) political group during the 2019–2024 parliamentary term. Investigators are examining whether ID breached public tender rules and channelled irregular donations financed with taxpayer money — the kind of misappropriation of parliamentary allowances that has repeatedly dogged Europe’s far right.</w:t>
      </w:r>
    </w:p>
    <w:p>
      <w:pPr>
        <w:pStyle w:val="BodyText"/>
      </w:pPr>
      <w:r>
        <w:t xml:space="preserve">The target no longer formally exists. ID has dissolved and reconstituted as</w:t>
      </w:r>
      <w:r>
        <w:t xml:space="preserve"> </w:t>
      </w:r>
      <w:r>
        <w:t xml:space="preserve">“Patriots for Europe,”</w:t>
      </w:r>
      <w:r>
        <w:t xml:space="preserve"> </w:t>
      </w:r>
      <w:r>
        <w:t xml:space="preserve">now the third-largest group in the European Parliament, with French National Rally MEP Jordan Bardella as its leading figure. That places the investigation uncomfortably close to the movement’s succession plans. Bardella is the designated political successor of Marine Le Pen, who in March 2025 was convicted of embezzling European Parliament assistants’ funds and handed a five-year ban from public office that, if upheld, would bar her from the 2027 presidential race. A Paris appeals court is still weighing whether to confirm that ban, and Bardella’s standing rises with every step of her legal jeopardy.</w:t>
      </w:r>
    </w:p>
    <w:p>
      <w:pPr>
        <w:pStyle w:val="BodyText"/>
      </w:pPr>
      <w:r>
        <w:rPr>
          <w:b/>
          <w:bCs/>
        </w:rPr>
        <w:t xml:space="preserve">References</w:t>
      </w:r>
    </w:p>
    <w:p>
      <w:pPr>
        <w:pStyle w:val="BodyText"/>
      </w:pPr>
      <w:r>
        <w:t xml:space="preserve">[15] Euronews. (2026, July 3). Following the money: the EPPO investigation into the defunct far-right EU group. Euronews. https://www.euronews.com/my-europe/2026/07/03/watch-following-the-moneythe-eppo-investigation-into-defunct-far-right-eu-group</w:t>
      </w:r>
    </w:p>
    <w:p>
      <w:pPr>
        <w:pStyle w:val="BodyText"/>
      </w:pPr>
      <w:r>
        <w:t xml:space="preserve">[16] Brussels Signal. (2026, July 3). Raids in Europe over alleged embezzlement, RN is targeted. Brussels Signal. https://brusselssignal.eu/2026/07/raids-in-europe-over-alleged-embezzlement-rn-is-targeted/</w:t>
      </w:r>
    </w:p>
    <w:p>
      <w:pPr>
        <w:pStyle w:val="BodyText"/>
      </w:pPr>
      <w:r>
        <w:t xml:space="preserve">[17] The Journal. (2026, July 3). EU prosecutors conduct raids in four countries over alleged misappropriation of funds by far right. The Journal. https://www.thejournal.ie/eu-prosecutors-conduct-raids-in-four-countries-over-alleged-misappropriation-of-funds-by-far-right-7086570-Jun2026/</w:t>
      </w:r>
    </w:p>
    <w:p>
      <w:pPr>
        <w:pStyle w:val="BodyText"/>
      </w:pPr>
      <w:r>
        <w:t xml:space="preserve">[18] PBS News. (2025, March 31). 4 things to know about Marine Le Pen’s embezzlement sentence and the political impact. PBS. https://www.pbs.org/newshour/world/4-things-to-know-about-marine-le-pens-embezzlement-sentence-and-the-political-impact</w:t>
      </w:r>
    </w:p>
    <w:p>
      <w:r>
        <w:pict>
          <v:rect style="width:0;height:1.5pt" o:hralign="center" o:hrstd="t" o:hr="t"/>
        </w:pict>
      </w:r>
    </w:p>
    <w:p>
      <w:pPr>
        <w:pStyle w:val="FirstParagraph"/>
      </w:pPr>
      <w:r>
        <w:rPr>
          <w:i/>
          <w:iCs/>
        </w:rPr>
        <w:t xml:space="preserve">Note: only 2 stories met T1-T4 standards for this category today.</w:t>
      </w:r>
    </w:p>
    <w:bookmarkEnd w:id="15"/>
    <w:bookmarkEnd w:id="16"/>
    <w:bookmarkStart w:id="19" w:name="technology-industry"/>
    <w:p>
      <w:pPr>
        <w:pStyle w:val="Heading2"/>
      </w:pPr>
      <w:r>
        <w:t xml:space="preserve">3. Technology &amp; Industry</w:t>
      </w:r>
    </w:p>
    <w:bookmarkStart w:id="17" w:name="X8bf68af913e4fc3106f3b682451e93381abee1d"/>
    <w:p>
      <w:pPr>
        <w:pStyle w:val="Heading3"/>
      </w:pPr>
      <w:r>
        <w:t xml:space="preserve">EU data protection rules delayed 11% of LLM releases versus the US, GovAI study finds</w:t>
      </w:r>
    </w:p>
    <w:p>
      <w:pPr>
        <w:pStyle w:val="FirstParagraph"/>
      </w:pPr>
      <w:r>
        <w:t xml:space="preserve">A report by the Centre for the Governance of AI (GovAI), published on 3 July 2026, found that EU data protection rules — primarily the GDPR — delayed or blocked at least 11% of advanced large language model releases in the European Union compared with the United States, and 7% compared with the United Kingdom. The analysis examined 375 LLMs released over eight years, from June 2018 to May 2026, by companies including Meta, Google, OpenAI and Anthropic. Of 68 documented cases where a model was delayed or withheld in the EU, 56 were attributed to regulatory factors.</w:t>
      </w:r>
    </w:p>
    <w:p>
      <w:pPr>
        <w:pStyle w:val="BodyText"/>
      </w:pPr>
      <w:r>
        <w:t xml:space="preserve">The burden fell unevenly. Meta faced the highest impact, with 26% of its EU releases delayed or withheld against 15% in the UK, and models handling non-text data such as images and audio ran into greater obstacles than text-only systems. Among individual products, Anthropic’s Claude 3 Opus experienced a 71-day delay in its EU web application launch. GovAI judged EU enforcement more aggressive than the UK’s, a gap that could widen: the EU AI Act’s full applicability deadline is 2 August 2026, layering a second regulatory regime on top of the GDPR.</w:t>
      </w:r>
    </w:p>
    <w:p>
      <w:pPr>
        <w:pStyle w:val="BodyText"/>
      </w:pPr>
      <w:r>
        <w:t xml:space="preserve">The findings feed a live argument in Brussels over whether Europe’s caution comes at the cost of access.</w:t>
      </w:r>
      <w:r>
        <w:t xml:space="preserve"> </w:t>
      </w:r>
      <w:r>
        <w:t xml:space="preserve">“It’s important that policymakers consider delays to model access as a factor when implementing and designing AI-related regulations,”</w:t>
      </w:r>
      <w:r>
        <w:t xml:space="preserve"> </w:t>
      </w:r>
      <w:r>
        <w:t xml:space="preserve">said John Lidiard, a UK AI policy researcher.</w:t>
      </w:r>
    </w:p>
    <w:p>
      <w:pPr>
        <w:pStyle w:val="BodyText"/>
      </w:pPr>
      <w:r>
        <w:rPr>
          <w:b/>
          <w:bCs/>
        </w:rPr>
        <w:t xml:space="preserve">References</w:t>
      </w:r>
    </w:p>
    <w:p>
      <w:pPr>
        <w:pStyle w:val="BodyText"/>
      </w:pPr>
      <w:r>
        <w:t xml:space="preserve">[19] Euronews. (2026, July 3). Data protection rules slow LLM rollout in Europe, study says. Euronews. https://www.euronews.com/next/2026/07/03/data-protection-rules-slow-llm-rollout-in-europe-study-says</w:t>
      </w:r>
    </w:p>
    <w:p>
      <w:pPr>
        <w:pStyle w:val="BodyText"/>
      </w:pPr>
      <w:r>
        <w:t xml:space="preserve">[20] Crypto Briefing. (2026, July 3). EU GDPR delays LLM releases, study finds. Crypto Briefing. https://cryptobriefing.com/eu-gdpr-delays-llm-releases-defense/</w:t>
      </w:r>
    </w:p>
    <w:p>
      <w:r>
        <w:pict>
          <v:rect style="width:0;height:1.5pt" o:hralign="center" o:hrstd="t" o:hr="t"/>
        </w:pict>
      </w:r>
    </w:p>
    <w:bookmarkEnd w:id="17"/>
    <w:bookmarkStart w:id="18" w:name="X5701584778260f4a406b0a0d4ee8fb6bcf96f99"/>
    <w:p>
      <w:pPr>
        <w:pStyle w:val="Heading3"/>
      </w:pPr>
      <w:r>
        <w:t xml:space="preserve">Citizen Lab confirms EU lawmaker who investigated Pegasus was himself hacked with Pegasus</w:t>
      </w:r>
    </w:p>
    <w:p>
      <w:pPr>
        <w:pStyle w:val="FirstParagraph"/>
      </w:pPr>
      <w:r>
        <w:t xml:space="preserve">The Citizen Lab at the University of Toronto published a forensic research report on 3 July 2026 revealing that Stelios Kouloglou, a Greek former Member of the European Parliament (2015–2024) and investigative journalist, was infected with NSO Group’s Pegasus spyware at least three times while serving on the European Parliament’s PEGA Committee — the body specifically established in 2022 to investigate illegal spyware use across EU member states. It is the first publicly identified case of a PEGA member compromised while doing the committee’s work.</w:t>
      </w:r>
    </w:p>
    <w:p>
      <w:pPr>
        <w:pStyle w:val="BodyText"/>
      </w:pPr>
      <w:r>
        <w:t xml:space="preserve">Forensic analysis of Kouloglou’s iPhone dated the intrusions to on or around 21 October 2022 and two more on 6–7 March 2023, all using the zero-click PWNYOURHOME exploit, which requires no action from the target. The committee had been set up in the wake of Europe’s spyware scandals, including Greece’s</w:t>
      </w:r>
      <w:r>
        <w:t xml:space="preserve"> </w:t>
      </w:r>
      <w:r>
        <w:t xml:space="preserve">“Predatorgate”</w:t>
      </w:r>
      <w:r>
        <w:t xml:space="preserve"> </w:t>
      </w:r>
      <w:r>
        <w:t xml:space="preserve">affair, in which journalists and opposition politicians were surveilled. That the watchdog’s own members were being watched sharpens those findings considerably; researchers noted the attackers could have reached confidential documents and committee deliberations.</w:t>
      </w:r>
    </w:p>
    <w:p>
      <w:pPr>
        <w:pStyle w:val="BodyText"/>
      </w:pPr>
      <w:r>
        <w:t xml:space="preserve">Citizen Lab found no evidence attributing the attack to the Greek government, and noted an overlap with an earlier campaign targeting Russian and Belarusian-speaking exiled journalists and activists in Europe.</w:t>
      </w:r>
      <w:r>
        <w:t xml:space="preserve"> </w:t>
      </w:r>
      <w:r>
        <w:t xml:space="preserve">“Spyware doesn’t make democracies safer. It weakens democratic oversight, parliamentary independence and the rule of law,”</w:t>
      </w:r>
      <w:r>
        <w:t xml:space="preserve"> </w:t>
      </w:r>
      <w:r>
        <w:t xml:space="preserve">said MEP Hannah Neumann.</w:t>
      </w:r>
    </w:p>
    <w:p>
      <w:pPr>
        <w:pStyle w:val="BodyText"/>
      </w:pPr>
      <w:r>
        <w:rPr>
          <w:b/>
          <w:bCs/>
        </w:rPr>
        <w:t xml:space="preserve">References</w:t>
      </w:r>
    </w:p>
    <w:p>
      <w:pPr>
        <w:pStyle w:val="BodyText"/>
      </w:pPr>
      <w:r>
        <w:t xml:space="preserve">[21] Scott-Railton, J., &amp; Marczak, B. (2026, July 3). Espionage against the European Parliament: member of committee investigating spyware hacked with Pegasus. Citizen Lab, University of Toronto. https://citizenlab.ca/research/member-of-committee-investigating-spyware-hacked-with-pegasus/</w:t>
      </w:r>
    </w:p>
    <w:p>
      <w:pPr>
        <w:pStyle w:val="BodyText"/>
      </w:pPr>
      <w:r>
        <w:t xml:space="preserve">[22] Al Jazeera. (2026, July 3). EU lawmaker investigating surveillance hacked by Israeli spyware, report says. Al Jazeera. https://www.aljazeera.com/economy/2026/7/3/eu-lawmaker-investigating-surveillance-hacked-by-israeli-spyware-report-says</w:t>
      </w:r>
    </w:p>
    <w:p>
      <w:pPr>
        <w:pStyle w:val="BodyText"/>
      </w:pPr>
      <w:r>
        <w:t xml:space="preserve">[23] The Record. (2026, July 3). Spyware found on phone of European Parliament member probing it. The Record. https://therecord.media/pegasus-spyware-european-parliament-pega-committee-member</w:t>
      </w:r>
    </w:p>
    <w:p>
      <w:r>
        <w:pict>
          <v:rect style="width:0;height:1.5pt" o:hralign="center" o:hrstd="t" o:hr="t"/>
        </w:pict>
      </w:r>
    </w:p>
    <w:p>
      <w:pPr>
        <w:pStyle w:val="FirstParagraph"/>
      </w:pPr>
      <w:r>
        <w:rPr>
          <w:i/>
          <w:iCs/>
        </w:rPr>
        <w:t xml:space="preserve">Note: only 2 stories met T1-T4 standards for this category today.</w:t>
      </w:r>
    </w:p>
    <w:bookmarkEnd w:id="18"/>
    <w:bookmarkEnd w:id="19"/>
    <w:bookmarkStart w:id="23" w:name="society-livelihood"/>
    <w:p>
      <w:pPr>
        <w:pStyle w:val="Heading2"/>
      </w:pPr>
      <w:r>
        <w:t xml:space="preserve">4. Society &amp; Livelihood</w:t>
      </w:r>
    </w:p>
    <w:bookmarkStart w:id="20" w:name="X454c970f3176b76c71d3f67ffa5e5f5737dcb08"/>
    <w:p>
      <w:pPr>
        <w:pStyle w:val="Heading3"/>
      </w:pPr>
      <w:r>
        <w:t xml:space="preserve">European heatwave leaves more than 4,000 excess deaths across France, Belgium, Spain and the Netherlands</w:t>
      </w:r>
    </w:p>
    <w:p>
      <w:pPr>
        <w:pStyle w:val="FirstParagraph"/>
      </w:pPr>
      <w:r>
        <w:t xml:space="preserve">Preliminary mortality data published 3 July 2026 attributed more than 4,000 excess deaths across Western Europe to the late-June heatwave. France recorded 2,025 additional deaths — a nearly 30% increase in weekly mortality during the week beginning 22 June 2026 — with the country’s health agency warning the figure was probably an underestimate. Belgium recorded 1,222 additional deaths, a 39% increase between 18 and 29 June 2026, described as the highest daily death toll in the country since the first wave of the coronavirus.</w:t>
      </w:r>
    </w:p>
    <w:p>
      <w:pPr>
        <w:pStyle w:val="BodyText"/>
      </w:pPr>
      <w:r>
        <w:t xml:space="preserve">The toll extended south and north. Spain’s Carlos III Health Institute reported at least 1,028 heat-related deaths in June, more than double the 407 recorded in June 2025. The Netherlands recorded approximately 480 additional deaths in the week of 22–28 June. Temperatures in France reached 44.3°C in Pissos on 23 June, the hottest day in the country since measurements began in 1947.</w:t>
      </w:r>
    </w:p>
    <w:p>
      <w:pPr>
        <w:pStyle w:val="BodyText"/>
      </w:pPr>
      <w:r>
        <w:t xml:space="preserve">The scale of the loss has spilled into politics. French opposition figures filed a no-confidence motion over what they called inadequate preparation for rising temperatures — a charge that reframes heat deaths as a question of governance and infrastructure rather than an unavoidable act of nature.</w:t>
      </w:r>
    </w:p>
    <w:p>
      <w:pPr>
        <w:pStyle w:val="BodyText"/>
      </w:pPr>
      <w:r>
        <w:rPr>
          <w:b/>
          <w:bCs/>
        </w:rPr>
        <w:t xml:space="preserve">References</w:t>
      </w:r>
    </w:p>
    <w:p>
      <w:pPr>
        <w:pStyle w:val="BodyText"/>
      </w:pPr>
      <w:r>
        <w:t xml:space="preserve">[24] Euronews. (2026, July 3). Heatwave leaves Europe with thousands of excess deaths. Euronews. https://www.euronews.com/health/2026/07/03/heatwave-leaves-europe-with-thousands-of-excess-deaths</w:t>
      </w:r>
    </w:p>
    <w:p>
      <w:pPr>
        <w:pStyle w:val="BodyText"/>
      </w:pPr>
      <w:r>
        <w:t xml:space="preserve">[25] The Week. (2026, July 1). More than 1,000 dead in destructive heatwave in Europe as roads and traffic signs melt. The Week. https://www.theweek.in/news/world/2026/07/01/more-than-1000-dead-in-destructive-heatwave-in-europe-roads-traffic-signs-melt-temperature-soars.html</w:t>
      </w:r>
    </w:p>
    <w:p>
      <w:r>
        <w:pict>
          <v:rect style="width:0;height:1.5pt" o:hralign="center" o:hrstd="t" o:hr="t"/>
        </w:pict>
      </w:r>
    </w:p>
    <w:bookmarkEnd w:id="20"/>
    <w:bookmarkStart w:id="21" w:name="X37237a1b383b5909ec14a591d6bd5fc04ab958c"/>
    <w:p>
      <w:pPr>
        <w:pStyle w:val="Heading3"/>
      </w:pPr>
      <w:r>
        <w:t xml:space="preserve">Eurostat releases 2025 Dublin data showing 111,708 asylum transfer requests, down 26% on 2024</w:t>
      </w:r>
    </w:p>
    <w:p>
      <w:pPr>
        <w:pStyle w:val="FirstParagraph"/>
      </w:pPr>
      <w:r>
        <w:t xml:space="preserve">EU member states submitted a total of 111,708 outgoing requests in 2025 to determine which country was responsible for examining an asylum claim, a 26% decrease from 151,830 in 2024, according to Eurostat data published on 3 July 2026. Germany was the largest sender of outgoing requests with 35,933, while Latvia sent the fewest with 23. Across the bloc, 115,625 incoming requests were received, a 31% decrease from the prior year, with Italy receiving the most incoming requests, approximately 24,152, and Estonia the fewest at 88.</w:t>
      </w:r>
    </w:p>
    <w:p>
      <w:pPr>
        <w:pStyle w:val="BodyText"/>
      </w:pPr>
      <w:r>
        <w:t xml:space="preserve">The gap between requests and results remained wide. Although paper requests fell sharply, actual transfers barely moved: 16,620 outgoing transfers were carried out, a 1% decrease from 2024’s 16,459, and 17,406 incoming transfers were implemented, a 1% increase. The persistent gulf between requests and completed transfers was one of the central criticisms of the system these numbers describe.</w:t>
      </w:r>
    </w:p>
    <w:p>
      <w:pPr>
        <w:pStyle w:val="BodyText"/>
      </w:pPr>
      <w:r>
        <w:t xml:space="preserve">The data lands three weeks after the New Pact on Migration and Asylum entered into application on 12 June 2026, replacing the Dublin system. Its successor, the Asylum and Migration Management Regulation, keeps the first-country-of-entry principle but adds a mandatory but flexible solidarity mechanism, under which states unwilling to relocate asylum seekers can instead pay €20,000 per person not accepted.</w:t>
      </w:r>
    </w:p>
    <w:p>
      <w:pPr>
        <w:pStyle w:val="BodyText"/>
      </w:pPr>
      <w:r>
        <w:rPr>
          <w:b/>
          <w:bCs/>
        </w:rPr>
        <w:t xml:space="preserve">References</w:t>
      </w:r>
    </w:p>
    <w:p>
      <w:pPr>
        <w:pStyle w:val="BodyText"/>
      </w:pPr>
      <w:r>
        <w:t xml:space="preserve">[26] Eurostat. (2026, July 3). Dublin statistics on countries responsible for asylum applications, 2025. European Commission. https://ec.europa.eu/eurostat/web/products-eurostat-news/w/ddn-20260703-1</w:t>
      </w:r>
    </w:p>
    <w:p>
      <w:pPr>
        <w:pStyle w:val="BodyText"/>
      </w:pPr>
      <w:r>
        <w:t xml:space="preserve">[27] European Commission. (2026, June 12). New migration and asylum rules enter into application: what is changing? Migration and Home Affairs. https://home-affairs.ec.europa.eu/news/new-migration-and-asylum-rules-enter-application-what-changing-2026-06-12_en</w:t>
      </w:r>
    </w:p>
    <w:p>
      <w:r>
        <w:pict>
          <v:rect style="width:0;height:1.5pt" o:hralign="center" o:hrstd="t" o:hr="t"/>
        </w:pict>
      </w:r>
    </w:p>
    <w:bookmarkEnd w:id="21"/>
    <w:bookmarkStart w:id="22" w:name="X045538888d3f635ba805a4e1c36e259dc83aa61"/>
    <w:p>
      <w:pPr>
        <w:pStyle w:val="Heading3"/>
      </w:pPr>
      <w:r>
        <w:t xml:space="preserve">Scientists confirm Europe’s extreme heatwaves now tens to hundreds of times more likely than in 2003</w:t>
      </w:r>
    </w:p>
    <w:p>
      <w:pPr>
        <w:pStyle w:val="FirstParagraph"/>
      </w:pPr>
      <w:r>
        <w:t xml:space="preserve">Scientists from World Weather Attribution have confirmed that intense European heatwaves are now tens to hundreds of times more likely than they were in 2003 — the year a heatwave killed approximately 70,000 people across Europe and reset the continent’s sense of what summer could do. The reason is straightforward: Europe has warmed at roughly twice the global average since the 1980s, so the temperatures that once counted as freak events now sit much closer to the middle of the distribution.</w:t>
      </w:r>
    </w:p>
    <w:p>
      <w:pPr>
        <w:pStyle w:val="BodyText"/>
      </w:pPr>
      <w:r>
        <w:t xml:space="preserve">The June 2026 heatwave showed how far the baseline has shifted. Germany, the Czech Republic and Poland reached 40°C (104°F), while France averaged 29.8°C with spikes to 44°C.</w:t>
      </w:r>
      <w:r>
        <w:t xml:space="preserve"> </w:t>
      </w:r>
      <w:r>
        <w:t xml:space="preserve">“Think of it like a race where the starting line has been moved much closer to the finish,”</w:t>
      </w:r>
      <w:r>
        <w:t xml:space="preserve"> </w:t>
      </w:r>
      <w:r>
        <w:t xml:space="preserve">said Dr. Akshay Deoras of the University of Reading, describing how warming makes each new record easier to break.</w:t>
      </w:r>
    </w:p>
    <w:p>
      <w:pPr>
        <w:pStyle w:val="BodyText"/>
      </w:pPr>
      <w:r>
        <w:t xml:space="preserve">The mortality trend runs in the same direction. The Lancet Countdown Europe’s 2026 report recorded 62,000 heat-related deaths across Europe in 2024, and found that 823 of 826 monitored European regions — 99.6% — saw increased heat-related deaths compared with 1991–2000.</w:t>
      </w:r>
      <w:r>
        <w:t xml:space="preserve"> </w:t>
      </w:r>
      <w:r>
        <w:t xml:space="preserve">“Heat-related mortality is likely to remain a feature of Europe’s warming climate,”</w:t>
      </w:r>
      <w:r>
        <w:t xml:space="preserve"> </w:t>
      </w:r>
      <w:r>
        <w:t xml:space="preserve">said Dr. Hans Kluge, WHO Europe Director. Professor Hannah Cloke, also of the University of Reading, tied the outlook back to policy:</w:t>
      </w:r>
      <w:r>
        <w:t xml:space="preserve"> </w:t>
      </w:r>
      <w:r>
        <w:t xml:space="preserve">“Every tonne of emissions avoided changes the odds of what comes next.”</w:t>
      </w:r>
    </w:p>
    <w:p>
      <w:pPr>
        <w:pStyle w:val="BodyText"/>
      </w:pPr>
      <w:r>
        <w:rPr>
          <w:b/>
          <w:bCs/>
        </w:rPr>
        <w:t xml:space="preserve">References</w:t>
      </w:r>
    </w:p>
    <w:p>
      <w:pPr>
        <w:pStyle w:val="BodyText"/>
      </w:pPr>
      <w:r>
        <w:t xml:space="preserve">[28] Al Jazeera. (2026, July 3). Are Europe’s extreme summers the new normal? What the science says. Al Jazeera. https://www.aljazeera.com/features/2026/7/3/are-europes-extreme-summers-the-new-normal-what-the-science-says</w:t>
      </w:r>
    </w:p>
    <w:p>
      <w:pPr>
        <w:pStyle w:val="BodyText"/>
      </w:pPr>
      <w:r>
        <w:t xml:space="preserve">[29] World Weather Attribution. (2026). Fossil fuel emissions have rapidly worsened European heatwaves in just a few decades. World Weather Attribution. https://www.worldweatherattribution.org/fossil-fuel-emissions-have-rapidly-worsened-european-heatwaves-in-just-a-few-decades/</w:t>
      </w:r>
    </w:p>
    <w:p>
      <w:r>
        <w:pict>
          <v:rect style="width:0;height:1.5pt" o:hralign="center" o:hrstd="t" o:hr="t"/>
        </w:pict>
      </w:r>
    </w:p>
    <w:bookmarkEnd w:id="22"/>
    <w:bookmarkEnd w:id="23"/>
    <w:bookmarkStart w:id="25" w:name="corporate-ipo-ma"/>
    <w:p>
      <w:pPr>
        <w:pStyle w:val="Heading2"/>
      </w:pPr>
      <w:r>
        <w:t xml:space="preserve">5. Corporate IPO &amp; M&amp;A</w:t>
      </w:r>
    </w:p>
    <w:bookmarkStart w:id="24" w:name="X62e3a10450ecdfa7e01556891e7aa114c448f2a"/>
    <w:p>
      <w:pPr>
        <w:pStyle w:val="Heading3"/>
      </w:pPr>
      <w:r>
        <w:t xml:space="preserve">European private equity deal value climbed 8.6% to €319.7 billion in H1 2026 as deal count fell</w:t>
      </w:r>
    </w:p>
    <w:p>
      <w:pPr>
        <w:pStyle w:val="FirstParagraph"/>
      </w:pPr>
      <w:r>
        <w:t xml:space="preserve">European private equity deal value across sub-regions reached €319.7 billion in the first half of 2026, an 8.6% increase from €294.4 billion in the equivalent prior-year period, according to PitchBook data cited on 3 July 2026. The rise came even as the number of transactions fell 4.5%, from 4,399 to 4,202 — fewer deals, but bigger ones. Average deal size rose to approximately €76.1 million from €66.9 million, pointing to firms concentrating capital in larger, more defensible targets.</w:t>
      </w:r>
    </w:p>
    <w:p>
      <w:pPr>
        <w:pStyle w:val="BodyText"/>
      </w:pPr>
      <w:r>
        <w:t xml:space="preserve">That pattern held despite genuine headwinds, including Middle East conflict and higher energy costs. Rather than retreat, sponsors adopted a more cautious stance, syndicating risk and consolidating existing positions — spreading exposure across co-investors and building on companies they already own rather than chasing new platforms. PitchBook’s own data shows the caution running deeper still, with add-ons reaching a decade-high 71.4% of buyout deal count. The result is a market putting more money to work through steadier, larger commitments.</w:t>
      </w:r>
    </w:p>
    <w:p>
      <w:pPr>
        <w:pStyle w:val="BodyText"/>
      </w:pPr>
      <w:r>
        <w:rPr>
          <w:b/>
          <w:bCs/>
        </w:rPr>
        <w:t xml:space="preserve">References</w:t>
      </w:r>
    </w:p>
    <w:p>
      <w:pPr>
        <w:pStyle w:val="BodyText"/>
      </w:pPr>
      <w:r>
        <w:t xml:space="preserve">[30] Chesnokova, S. (2026, July 3). European private equity deal value hit €319.7B in H1 2026, but the number of deals fell — here’s why. Tech Funding News. https://techfundingnews.com/european-private-equity-deal-value-hit-e319-7b-in-h1-2026-but-the-number-of-deals-fell-heres-why/</w:t>
      </w:r>
    </w:p>
    <w:p>
      <w:pPr>
        <w:pStyle w:val="BodyText"/>
      </w:pPr>
      <w:r>
        <w:t xml:space="preserve">[31] PitchBook. (2026). Surge in add-ons and club deals signal investor caution in Europe. PitchBook. https://pitchbook.com/news/articles/surge-in-add-ons-and-club-deals-signal-investor-caution-in-europe</w:t>
      </w:r>
    </w:p>
    <w:p>
      <w:r>
        <w:pict>
          <v:rect style="width:0;height:1.5pt" o:hralign="center" o:hrstd="t" o:hr="t"/>
        </w:pict>
      </w:r>
    </w:p>
    <w:p>
      <w:pPr>
        <w:pStyle w:val="FirstParagraph"/>
      </w:pPr>
      <w:r>
        <w:rPr>
          <w:i/>
          <w:iCs/>
        </w:rPr>
        <w:t xml:space="preserve">Note: only 1 story met T1-T4 standards for this category today.</w:t>
      </w:r>
    </w:p>
    <w:bookmarkEnd w:id="24"/>
    <w:bookmarkEnd w:id="25"/>
    <w:bookmarkStart w:id="28" w:name="other-notable-events"/>
    <w:p>
      <w:pPr>
        <w:pStyle w:val="Heading2"/>
      </w:pPr>
      <w:r>
        <w:t xml:space="preserve">6. Other Notable Events</w:t>
      </w:r>
    </w:p>
    <w:bookmarkStart w:id="26" w:name="X6027b4be1fd68c4b01fa6fe1c0f7e26a03424d3"/>
    <w:p>
      <w:pPr>
        <w:pStyle w:val="Heading3"/>
      </w:pPr>
      <w:r>
        <w:t xml:space="preserve">Ukraine’s long-range drone strikes disrupt Russian refineries, shifting the war’s narrative</w:t>
      </w:r>
    </w:p>
    <w:p>
      <w:pPr>
        <w:pStyle w:val="FirstParagraph"/>
      </w:pPr>
      <w:r>
        <w:t xml:space="preserve">Ukraine has shifted to long-range asymmetric drone strikes on Russian oil refineries and fuel depots, triggering fuel shortages inside Russia and altering the tone of a conflict Moscow had been describing in triumphant terms, Al Jazeera reported on 3 July 2026. The change registered even in state media: Kremlin figure Vladimir Solovyov acknowledged the strain in mid-June, telling audiences</w:t>
      </w:r>
      <w:r>
        <w:t xml:space="preserve"> </w:t>
      </w:r>
      <w:r>
        <w:t xml:space="preserve">“We have to get ready for hardships and self-sacrifice.”</w:t>
      </w:r>
    </w:p>
    <w:p>
      <w:pPr>
        <w:pStyle w:val="BodyText"/>
      </w:pPr>
      <w:r>
        <w:t xml:space="preserve">The campaign is designed to hurt Russia where its defences are thin rather than to win ground. On 3 July, the Security Service of Ukraine (SBU) claimed its drones destroyed or damaged seven military jets — including Su-30SMs, Su-30s and Su-24s — during an assault on Saky airfield in Russian-occupied Crimea, and Ukrainian forces also struck an electrical substation serving the Michurinskaya Combined Heat and Power facility in Belgorod.</w:t>
      </w:r>
      <w:r>
        <w:t xml:space="preserve"> </w:t>
      </w:r>
      <w:r>
        <w:t xml:space="preserve">“Russia invested heavily in drones and Iskander missiles but lacks adequate air defense systems like the Pantsir to protect its territory,”</w:t>
      </w:r>
      <w:r>
        <w:t xml:space="preserve"> </w:t>
      </w:r>
      <w:r>
        <w:t xml:space="preserve">said military analyst Nikolay Mitrokhin.</w:t>
      </w:r>
    </w:p>
    <w:p>
      <w:pPr>
        <w:pStyle w:val="BodyText"/>
      </w:pPr>
      <w:r>
        <w:t xml:space="preserve">The strikes follow the deadliest Russian air strike on Kyiv this year, which killed at least five civilians on 2 July and prompted Ukraine to press NATO allies to speed up air-defence deliveries — a demand set to dominate the NATO Ankara summit on 7–8 July 2026.</w:t>
      </w:r>
    </w:p>
    <w:p>
      <w:pPr>
        <w:pStyle w:val="BodyText"/>
      </w:pPr>
      <w:r>
        <w:rPr>
          <w:b/>
          <w:bCs/>
        </w:rPr>
        <w:t xml:space="preserve">References</w:t>
      </w:r>
    </w:p>
    <w:p>
      <w:pPr>
        <w:pStyle w:val="BodyText"/>
      </w:pPr>
      <w:r>
        <w:t xml:space="preserve">[32] Al Jazeera. (2026, July 3). Russia’s triumphant tone shifts as Ukraine deploys asymmetrical tactics. Al Jazeera. https://www.aljazeera.com/news/2026/7/3/russias-triumphant-tone-shifts-as-ukraine-deploys-asymmetrical-tactics</w:t>
      </w:r>
    </w:p>
    <w:p>
      <w:r>
        <w:pict>
          <v:rect style="width:0;height:1.5pt" o:hralign="center" o:hrstd="t" o:hr="t"/>
        </w:pict>
      </w:r>
    </w:p>
    <w:bookmarkEnd w:id="26"/>
    <w:bookmarkStart w:id="27" w:name="Xe8687e7f107d97f82fa59b45e4e8195840143b3"/>
    <w:p>
      <w:pPr>
        <w:pStyle w:val="Heading3"/>
      </w:pPr>
      <w:r>
        <w:t xml:space="preserve">Germany coach Julian Nagelsmann resigns after World Cup 2026 shock exit, DFB eyes Klopp</w:t>
      </w:r>
    </w:p>
    <w:p>
      <w:pPr>
        <w:pStyle w:val="FirstParagraph"/>
      </w:pPr>
      <w:r>
        <w:t xml:space="preserve">Julian Nagelsmann, 38, formally stepped down as Germany’s head coach on 3 July 2026, days after the team’s shock 4-3 penalty shootout loss to Paraguay in the Round of 32 at World Cup 2026 in Boston on 29 June. It was Germany’s first failure to advance beyond the Round of 32 since 1938, an exit brutal enough to force a reckoning at the German Football Association. A DFB leadership meeting of approximately three and a half hours ended with the federation strongly encouraging Nagelsmann to go; per German tabloid Bild, he received a €7 million severance package.</w:t>
      </w:r>
    </w:p>
    <w:p>
      <w:pPr>
        <w:pStyle w:val="BodyText"/>
      </w:pPr>
      <w:r>
        <w:t xml:space="preserve">The DFB’s preferred successor is Jürgen Klopp, 59, the former Liverpool, Dortmund and Mainz manager whose high-intensity teams and command of the dressing room made him one of the game’s most sought-after coaches before he stepped back from club football. The task ahead is stark: Germany, four-time world champions, have not won a World Cup since 2014, and the trend since has been one of early exits and rebuilding.</w:t>
      </w:r>
      <w:r>
        <w:t xml:space="preserve"> </w:t>
      </w:r>
      <w:r>
        <w:t xml:space="preserve">“After such a devastating setback, and considering the challenges ahead, we cannot and will not simply return to business as usual,”</w:t>
      </w:r>
      <w:r>
        <w:t xml:space="preserve"> </w:t>
      </w:r>
      <w:r>
        <w:t xml:space="preserve">said DFB President Bernd Neuendorf.</w:t>
      </w:r>
    </w:p>
    <w:p>
      <w:pPr>
        <w:pStyle w:val="BodyText"/>
      </w:pPr>
      <w:r>
        <w:rPr>
          <w:b/>
          <w:bCs/>
        </w:rPr>
        <w:t xml:space="preserve">References</w:t>
      </w:r>
    </w:p>
    <w:p>
      <w:pPr>
        <w:pStyle w:val="BodyText"/>
      </w:pPr>
      <w:r>
        <w:t xml:space="preserve">[33] Al Jazeera. (2026, July 3). Nagelsmann steps down as Germany coach after World Cup Round of 32 exit to Paraguay. Al Jazeera. https://www.aljazeera.com/sports/2026/7/3/nagelsmann-steps-down-germany-coach-klopp-paraguay-world-cup-round-of-32</w:t>
      </w:r>
    </w:p>
    <w:p>
      <w:pPr>
        <w:pStyle w:val="BodyText"/>
      </w:pPr>
      <w:r>
        <w:t xml:space="preserve">[34] ANI News. (2026, July 3). FIFA World Cup 2026: Coach Julian Nagelsmann resigns after Germany’s shock R32 exit. ANI News. https://www.aninews.in/news/sports/football/fifa-world-cup-2026-coach-julian-nagelsmann-resigns-after-germanys-shock-r32-exit20260703112728/</w:t>
      </w:r>
    </w:p>
    <w:p>
      <w:r>
        <w:pict>
          <v:rect style="width:0;height:1.5pt" o:hralign="center" o:hrstd="t" o:hr="t"/>
        </w:pic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2026-07-03T13:05:22Z</dcterms:created>
  <dcterms:modified xsi:type="dcterms:W3CDTF">2026-07-03T13:05:22Z</dcterms:modified>
</cp:coreProperties>
</file>

<file path=docProps/custom.xml><?xml version="1.0" encoding="utf-8"?>
<Properties xmlns="http://schemas.openxmlformats.org/officeDocument/2006/custom-properties" xmlns:vt="http://schemas.openxmlformats.org/officeDocument/2006/docPropsVTypes"/>
</file>