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b3325783b226249c6c44e517d1fc29b74e0364"/>
    <w:p>
      <w:pPr>
        <w:pStyle w:val="Heading1"/>
      </w:pPr>
      <w:r>
        <w:t xml:space="preserve">Japan Daily News Intelligence — July 1, 2026</w:t>
      </w:r>
    </w:p>
    <w:bookmarkStart w:id="12" w:name="economy-markets"/>
    <w:p>
      <w:pPr>
        <w:pStyle w:val="Heading2"/>
      </w:pPr>
      <w:r>
        <w:t xml:space="preserve">1. Economy &amp; Markets</w:t>
      </w:r>
    </w:p>
    <w:bookmarkStart w:id="9" w:name="X99ba627fe2b7071491dd947e3ef8189c59761da"/>
    <w:p>
      <w:pPr>
        <w:pStyle w:val="Heading3"/>
      </w:pPr>
      <w:r>
        <w:t xml:space="preserve">Japan Q2 2026 Tankan Lifts Large-Manufacturer Sentiment to Eight-Year High as Inflation Expectations Hit Record</w:t>
      </w:r>
    </w:p>
    <w:p>
      <w:pPr>
        <w:pStyle w:val="FirstParagraph"/>
      </w:pPr>
      <w:r>
        <w:t xml:space="preserve">The Bank of Japan’s quarterly Short-Term Economic Survey of Enterprises put the headline diffusion index for large manufacturers’ business conditions at +22 in June, up from +17 in March and the highest reading since March 2018. The result marked five consecutive quarters of improvement and beat a Bloomberg median forecast of +16, even as firms weighed the fallout of Middle East conflict on energy costs. Sentiment among large non-manufacturers edged up to +37 from +36, extending resilience in services and domestic-facing sectors.</w:t>
      </w:r>
    </w:p>
    <w:p>
      <w:pPr>
        <w:pStyle w:val="BodyText"/>
      </w:pPr>
      <w:r>
        <w:t xml:space="preserve">Cost pressure remained the survey’s dominant theme. The input-price DI surged to +62 from +46 in March, with the yen trading around ¥162 per dollar amplifying imported-input bills. Despite firm demand, large enterprises forecast current-profit declines of –6.7% for manufacturers and –6.3% for non-manufacturers in fiscal 2026, a squeeze between rising costs and pricing limits. Large manufacturers nonetheless revised FY2026 sales-growth projections up 3.3 percentage points to +4.0%. Firms’ inflation expectations reached a record, with companies forecasting consumer prices 2.6% higher both three and five years ahead, up 10 basis points from March. The employment DI for all enterprises held at –37, signalling persistent labour shortages. Naomi Fink of Amova Asset Management summarised the dynamic, noting that while sales remain firm for large enterprises, profits are expected to weaken. The data landed two weeks after the BOJ raised its policy rate to 1.0% on June 16, 2026, a 25 basis-point hike and the highest since 1995, with the next policy meeting set for July 31, 2026. BOJ board member Naoki Tamura has argued the rate should</w:t>
      </w:r>
      <w:r>
        <w:t xml:space="preserve"> </w:t>
      </w:r>
      <w:r>
        <w:t xml:space="preserve">“gradually move toward a neutral level of around 2%.”</w:t>
      </w:r>
    </w:p>
    <w:p>
      <w:pPr>
        <w:pStyle w:val="BodyText"/>
      </w:pPr>
      <w:r>
        <w:rPr>
          <w:b/>
          <w:bCs/>
        </w:rPr>
        <w:t xml:space="preserve">References</w:t>
      </w:r>
      <w:r>
        <w:t xml:space="preserve"> </w:t>
      </w:r>
      <w:r>
        <w:t xml:space="preserve">[1] Bank of Japan. (2026, July 1). Tankan (Short-Term Economic Survey of Enterprises in Japan). Bank of Japan. https://www.boj.or.jp/en/statistics/tk/tankan06a.htm</w:t>
      </w:r>
      <w:r>
        <w:t xml:space="preserve"> </w:t>
      </w:r>
      <w:r>
        <w:t xml:space="preserve">[2] Associated Press. (2026, July 1). Survey shows Japan’s business sentiment improving for a 5th straight quarter. News4Jax. https://www.news4jax.com/business/2026/07/01/survey-shows-japans-business-sentiment-improving-for-a-5th-straight-quarter/</w:t>
      </w:r>
      <w:r>
        <w:t xml:space="preserve"> </w:t>
      </w:r>
      <w:r>
        <w:t xml:space="preserve">[3] Kyodo. (2026, July 1). Japan large manufacturers’ mood improves. The Japan Times. https://www.japantimes.co.jp/business/2026/07/01/companies/japan-manufacturer-mood-improve/</w:t>
      </w:r>
      <w:r>
        <w:t xml:space="preserve"> </w:t>
      </w:r>
      <w:r>
        <w:t xml:space="preserve">[4] Reuters. (2026, July 1). Japan business mood improves despite Middle East war, BOJ survey shows. Investing.com. https://www.investing.com/news/economy-news/japan-business-mood-improves-despite-middle-east-war-boj-survey-shows-4769291</w:t>
      </w:r>
    </w:p>
    <w:p>
      <w:r>
        <w:pict>
          <v:rect style="width:0;height:1.5pt" o:hralign="center" o:hrstd="t" o:hr="t"/>
        </w:pict>
      </w:r>
    </w:p>
    <w:bookmarkEnd w:id="9"/>
    <w:bookmarkStart w:id="10" w:name="Xf5181561b615ca0cf4bf030b2c8cfcd38bd37cc"/>
    <w:p>
      <w:pPr>
        <w:pStyle w:val="Heading3"/>
      </w:pPr>
      <w:r>
        <w:t xml:space="preserve">Japan Consumer Confidence Index Edges Up to 33.8 in June as Nearly All Households Brace for Higher Prices</w:t>
      </w:r>
    </w:p>
    <w:p>
      <w:pPr>
        <w:pStyle w:val="FirstParagraph"/>
      </w:pPr>
      <w:r>
        <w:t xml:space="preserve">Japan’s Cabinet Office Economic and Social Research Institute reported the headline Consumer Confidence Index (seasonally adjusted) rising 0.2 points from May to 33.8 in June. The survey covered 8,400 households with a 78.7% response rate. All four component indices stayed below the 50 line that separates optimism from pessimism, underscoring how cautious households remain even as the broader economy expands.</w:t>
      </w:r>
    </w:p>
    <w:p>
      <w:pPr>
        <w:pStyle w:val="BodyText"/>
      </w:pPr>
      <w:r>
        <w:t xml:space="preserve">The</w:t>
      </w:r>
      <w:r>
        <w:t xml:space="preserve"> </w:t>
      </w:r>
      <w:r>
        <w:t xml:space="preserve">“overall livelihood”</w:t>
      </w:r>
      <w:r>
        <w:t xml:space="preserve"> </w:t>
      </w:r>
      <w:r>
        <w:t xml:space="preserve">component rose 0.8 to 32.0,</w:t>
      </w:r>
      <w:r>
        <w:t xml:space="preserve"> </w:t>
      </w:r>
      <w:r>
        <w:t xml:space="preserve">“employment”</w:t>
      </w:r>
      <w:r>
        <w:t xml:space="preserve"> </w:t>
      </w:r>
      <w:r>
        <w:t xml:space="preserve">reached 38.4,</w:t>
      </w:r>
      <w:r>
        <w:t xml:space="preserve"> </w:t>
      </w:r>
      <w:r>
        <w:t xml:space="preserve">“income growth”</w:t>
      </w:r>
      <w:r>
        <w:t xml:space="preserve"> </w:t>
      </w:r>
      <w:r>
        <w:t xml:space="preserve">held at 40.3, and</w:t>
      </w:r>
      <w:r>
        <w:t xml:space="preserve"> </w:t>
      </w:r>
      <w:r>
        <w:t xml:space="preserve">“willingness to buy durable goods”</w:t>
      </w:r>
      <w:r>
        <w:t xml:space="preserve"> </w:t>
      </w:r>
      <w:r>
        <w:t xml:space="preserve">registered 24.6. Price anxiety dominated: 93.3% of respondents expect prices to go up in the coming year, a marginal decline of 0.2 percentage points from May but still near-universal. The pessimism has concrete drivers, with 2,566 food and beverage items flagged for price increases entering July 2026. Offsetting the strain, nominal wage growth reached 5%+ Shunto increases in the spring wage round, though the gap between headline pay gains and durable-goods appetite signals that real spending power has yet to convince consumers.</w:t>
      </w:r>
    </w:p>
    <w:p>
      <w:pPr>
        <w:pStyle w:val="BodyText"/>
      </w:pPr>
      <w:r>
        <w:rPr>
          <w:b/>
          <w:bCs/>
        </w:rPr>
        <w:t xml:space="preserve">References</w:t>
      </w:r>
      <w:r>
        <w:t xml:space="preserve"> </w:t>
      </w:r>
      <w:r>
        <w:t xml:space="preserve">[5] Cabinet Office Economic and Social Research Institute. (2026, July 1). Consumer Confidence Survey. Cabinet Office, Government of Japan. https://www.esri.cao.go.jp/en/stat/shouhi/shouhi-e.html</w:t>
      </w:r>
    </w:p>
    <w:p>
      <w:r>
        <w:pict>
          <v:rect style="width:0;height:1.5pt" o:hralign="center" o:hrstd="t" o:hr="t"/>
        </w:pict>
      </w:r>
    </w:p>
    <w:bookmarkEnd w:id="10"/>
    <w:bookmarkStart w:id="11" w:name="X83552f47cb5e58ad423a26c9330cf78a01f207f"/>
    <w:p>
      <w:pPr>
        <w:pStyle w:val="Heading3"/>
      </w:pPr>
      <w:r>
        <w:t xml:space="preserve">Japan’s 2026 Rosenka Shows Roadside Land Prices Up 2.9% Nationwide, Ski Resorts Posting 30%-Plus Gains</w:t>
      </w:r>
    </w:p>
    <w:p>
      <w:pPr>
        <w:pStyle w:val="FirstParagraph"/>
      </w:pPr>
      <w:r>
        <w:t xml:space="preserve">The National Tax Agency of Japan published its annual roadside land price valuations (rosenka) on Tuesday, July 1, 2026, showing the average of land prices facing major roads rose 2.9% year-on-year as of the January 1, 2026 reference date. That marked a fifth consecutive year of nationwide increase. The figures are released every July 1 and form the basis for calculating inheritance and gift taxes, giving them direct fiscal consequences for property holders across the country.</w:t>
      </w:r>
    </w:p>
    <w:p>
      <w:pPr>
        <w:pStyle w:val="BodyText"/>
      </w:pPr>
      <w:r>
        <w:t xml:space="preserve">Snow-country tourism destinations again led the rankings. Hakuba village, Nagano Prefecture, topped all locations with +32.7%, its third straight year at the top and up from 32.4% in 2025. Nozawaonsen village, also in Nagano, placed second at +31.3%, and Kitanomine in Furano, Hokkaido, came third at +28%. The concentration of the steepest gains in ski and resort areas reflects sustained foreign investment and inbound-visitor demand pushing valuations well above the national average.</w:t>
      </w:r>
    </w:p>
    <w:p>
      <w:pPr>
        <w:pStyle w:val="BodyText"/>
      </w:pPr>
      <w:r>
        <w:rPr>
          <w:b/>
          <w:bCs/>
        </w:rPr>
        <w:t xml:space="preserve">References</w:t>
      </w:r>
      <w:r>
        <w:t xml:space="preserve"> </w:t>
      </w:r>
      <w:r>
        <w:t xml:space="preserve">[6] The Japan Times. (2026, July 1). Japan roadside land prices rise for fifth straight year. The Japan Times. https://www.japantimes.co.jp/business/2026/07/01/economy/japan-roadside-land-prices-rise/</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91e378e8168abee27d15e7c1cf0e9d8be951b85"/>
    <w:p>
      <w:pPr>
        <w:pStyle w:val="Heading3"/>
      </w:pPr>
      <w:r>
        <w:t xml:space="preserve">PM Takaichi Arrives in New Delhi for 16th India-Japan Annual Summit with AI, Semiconductors, and Indo-Pacific Security on Agenda</w:t>
      </w:r>
    </w:p>
    <w:p>
      <w:pPr>
        <w:pStyle w:val="FirstParagraph"/>
      </w:pPr>
      <w:r>
        <w:t xml:space="preserve">Japanese Prime Minister Sanae Takaichi arrived in New Delhi on the evening of July 1 for a three-day official visit running July 1–3, her first trip to India since taking office in late 2025, at Prime Minister Narendra Modi’s invitation. The visit anchors the 16th India-Japan Annual Summit and continues the shuttle diplomacy that followed Modi’s August 2025 Tokyo trip. The two countries have held</w:t>
      </w:r>
      <w:r>
        <w:t xml:space="preserve"> </w:t>
      </w:r>
      <w:r>
        <w:t xml:space="preserve">“Special Strategic and Global Partnership”</w:t>
      </w:r>
      <w:r>
        <w:t xml:space="preserve"> </w:t>
      </w:r>
      <w:r>
        <w:t xml:space="preserve">status since 2014.</w:t>
      </w:r>
    </w:p>
    <w:p>
      <w:pPr>
        <w:pStyle w:val="BodyText"/>
      </w:pPr>
      <w:r>
        <w:t xml:space="preserve">The agenda spans semiconductors and critical minerals, artificial intelligence, green ammonia projects in Odisha, batteries, pharmaceuticals, and Indo-Pacific maritime security. AI cooperation is being advanced under the Japan-India AI Cooperation Initiative, including the 1st Japan-India AI Strategic Dialogue. Approximately 12 Memorandums of Cooperation are expected alongside roughly 120 private-sector business agreements, reflecting the summit’s dual emphasis on state-level frameworks and commercial deals. Takaichi and Modi had met on the sidelines of the G7 in France on June 16, 2026, where Modi said the two countries</w:t>
      </w:r>
      <w:r>
        <w:t xml:space="preserve"> </w:t>
      </w:r>
      <w:r>
        <w:t xml:space="preserve">“will continue to deepen ties in diverse sectors, with a priority on trade and investment.”</w:t>
      </w:r>
      <w:r>
        <w:t xml:space="preserve"> </w:t>
      </w:r>
      <w:r>
        <w:t xml:space="preserve">The New Delhi summit converts that framing into concrete deliverables across technology supply chains and regional security.</w:t>
      </w:r>
    </w:p>
    <w:p>
      <w:pPr>
        <w:pStyle w:val="BodyText"/>
      </w:pPr>
      <w:r>
        <w:rPr>
          <w:b/>
          <w:bCs/>
        </w:rPr>
        <w:t xml:space="preserve">References</w:t>
      </w:r>
      <w:r>
        <w:t xml:space="preserve"> </w:t>
      </w:r>
      <w:r>
        <w:t xml:space="preserve">[7] The Tribune / ANI. (2026, July 1). Semiconductors, AI and Indo-Pacific security: Japanese PM Sanae Takaichi to arrive in Delhi for 16th annual summit. The Tribune. https://www.tribuneindia.com/news/16th-india-japan-summit/semiconductors-ai-and-indo-pacific-security-japanese-pm-sanae-takaichi-to-arrive-in-delhi-for-16th-annual-summit</w:t>
      </w:r>
      <w:r>
        <w:t xml:space="preserve"> </w:t>
      </w:r>
      <w:r>
        <w:t xml:space="preserve">[8] IANS. (2026, July 1). Japanese PM Takaichi to visit New Delhi today for India-Japan annual summit. IANS Live. https://ianslive.in/japanese-pm-takaichi-to-visit-new-delhi-today-for-india-japan-annual-summit–20260701065011</w:t>
      </w:r>
      <w:r>
        <w:t xml:space="preserve"> </w:t>
      </w:r>
      <w:r>
        <w:t xml:space="preserve">[9] Ministry of Foreign Affairs of Japan. (2026, July 1). Prime Minister Takaichi’s visit to India. MOFA. https://www.mofa.go.jp/press/release/pressite_000001_02290.html</w:t>
      </w:r>
    </w:p>
    <w:p>
      <w:r>
        <w:pict>
          <v:rect style="width:0;height:1.5pt" o:hralign="center" o:hrstd="t" o:hr="t"/>
        </w:pict>
      </w:r>
    </w:p>
    <w:bookmarkEnd w:id="13"/>
    <w:bookmarkStart w:id="14" w:name="X67a2571f8654cc346e5f58d74595d4d6e7c9075"/>
    <w:p>
      <w:pPr>
        <w:pStyle w:val="Heading3"/>
      </w:pPr>
      <w:r>
        <w:t xml:space="preserve">Japan’s Three Main Opposition Parties Face Make-or-Break Choice on Wider Merger</w:t>
      </w:r>
    </w:p>
    <w:p>
      <w:pPr>
        <w:pStyle w:val="FirstParagraph"/>
      </w:pPr>
      <w:r>
        <w:t xml:space="preserve">Leaders of the Centrist Reform Alliance (CRA), the Constitutional Democratic Party of Japan (CDP), and Komeito agreed to set up a joint consultative body to accelerate talks on a three-party merger, with the secretaries-general and other officials due to begin discussions on cooperating over organizational structures, policies, and elections. CRA leader Junya Ogawa convened separate bilateral meetings to push the integration forward. The impetus is electoral survival: after the LDP’s landslide February 2026 Lower House election victory delivered a two-thirds majority, the CRA managed only 49 seats.</w:t>
      </w:r>
    </w:p>
    <w:p>
      <w:pPr>
        <w:pStyle w:val="BodyText"/>
      </w:pPr>
      <w:r>
        <w:t xml:space="preserve">The CRA was itself formed in January 2026 by the merger of the CDP and Komeito in the Lower House, and the current push aims to extend that consolidation into a durable single force. Komeito has signalled its intent to integrate into the CRA, extending the lower-chamber tie-up into the Upper House. Ogawa wants a conclusion by the current Diet session, scheduled to end July 17, 2026, though the CDP remains wary of entering talks with a predetermined outcome. Ogawa framed the stakes in terms of the future of Japan’s centrist and liberal camp, saying the three parties are firmly determined to discuss organizational issues from the perspective of what those forces should become.</w:t>
      </w:r>
    </w:p>
    <w:p>
      <w:pPr>
        <w:pStyle w:val="BodyText"/>
      </w:pPr>
      <w:r>
        <w:rPr>
          <w:b/>
          <w:bCs/>
        </w:rPr>
        <w:t xml:space="preserve">References</w:t>
      </w:r>
      <w:r>
        <w:t xml:space="preserve"> </w:t>
      </w:r>
      <w:r>
        <w:t xml:space="preserve">[10] The Japan Times. (2026, July 1). Japan’s opposition faces a make-or-break choice over wider integration. The Japan Times. https://www.japantimes.co.jp/news/2026/07/01/japan/politics/cra-cdp-merger/</w:t>
      </w:r>
      <w:r>
        <w:t xml:space="preserve"> </w:t>
      </w:r>
      <w:r>
        <w:t xml:space="preserve">[11] Jiji Press. (2026, June 26). 3 Japan opposition heads agree to set up body for merger talks. Nippon.com. https://www.nippon.com/en/news/yjj2026062600310/</w:t>
      </w:r>
      <w:r>
        <w:t xml:space="preserve"> </w:t>
      </w:r>
      <w:r>
        <w:t xml:space="preserve">[12] Kyodo. (2026, June 13). Komeito aims to merge with CRA before next parliamentary session. The Japan Times. https://www.japantimes.co.jp/news/2026/06/13/japan/komeito-cra-merger/</w:t>
      </w:r>
    </w:p>
    <w:p>
      <w:r>
        <w:pict>
          <v:rect style="width:0;height:1.5pt" o:hralign="center" o:hrstd="t" o:hr="t"/>
        </w:pict>
      </w:r>
    </w:p>
    <w:bookmarkEnd w:id="14"/>
    <w:bookmarkStart w:id="15" w:name="X1701d6ea4bf2625d98d08b091b7cca91625fccd"/>
    <w:p>
      <w:pPr>
        <w:pStyle w:val="Heading3"/>
      </w:pPr>
      <w:r>
        <w:t xml:space="preserve">Japan Cabinet’s Imperial House Law Succession Bill Sparks Opposition Boycott of Diet Deliberations</w:t>
      </w:r>
    </w:p>
    <w:p>
      <w:pPr>
        <w:pStyle w:val="FirstParagraph"/>
      </w:pPr>
      <w:r>
        <w:t xml:space="preserve">Japan’s Cabinet approved on June 30, 2026 a bill to amend the Imperial House Law, the first substantive revision of the 1947 legislation. The measure would allow the adoption of male paternal-line descendants of former imperial branches, permit female members to keep imperial status after marriage, and make the sons of adoptees eligible for succession. The changes address the shrinking imperial family and its succession pool, but the process has fractured the political consensus that historically surrounds imperial matters.</w:t>
      </w:r>
    </w:p>
    <w:p>
      <w:pPr>
        <w:pStyle w:val="BodyText"/>
      </w:pPr>
      <w:r>
        <w:t xml:space="preserve">Only 7 of Japan’s 13 Diet parties endorsed the proposals, a sharp contrast with the near-universal backing for the 2017 abdication legislation, and opposition parties are boycotting Diet deliberations with the session ending July 17, 2026. CDP Secretary General Masayo Tanabu charged that</w:t>
      </w:r>
      <w:r>
        <w:t xml:space="preserve"> </w:t>
      </w:r>
      <w:r>
        <w:t xml:space="preserve">“matters that had not been fully debated were suddenly inserted.”</w:t>
      </w:r>
      <w:r>
        <w:t xml:space="preserve"> </w:t>
      </w:r>
      <w:r>
        <w:t xml:space="preserve">Chief Cabinet Secretary Minoru Kihara defended the bill, countering that</w:t>
      </w:r>
      <w:r>
        <w:t xml:space="preserve"> </w:t>
      </w:r>
      <w:r>
        <w:t xml:space="preserve">“existing provisions of the Imperial House Law must apply.”</w:t>
      </w:r>
      <w:r>
        <w:t xml:space="preserve"> </w:t>
      </w:r>
      <w:r>
        <w:t xml:space="preserve">Shizuoka University Professor Emeritus Yuji Otabe characterised the government’s approach as</w:t>
      </w:r>
      <w:r>
        <w:t xml:space="preserve"> </w:t>
      </w:r>
      <w:r>
        <w:t xml:space="preserve">“one-sided”</w:t>
      </w:r>
      <w:r>
        <w:t xml:space="preserve"> </w:t>
      </w:r>
      <w:r>
        <w:t xml:space="preserve">and argued the matter should be more carefully deliberated.</w:t>
      </w:r>
    </w:p>
    <w:p>
      <w:pPr>
        <w:pStyle w:val="BodyText"/>
      </w:pPr>
      <w:r>
        <w:rPr>
          <w:b/>
          <w:bCs/>
        </w:rPr>
        <w:t xml:space="preserve">References</w:t>
      </w:r>
      <w:r>
        <w:t xml:space="preserve"> </w:t>
      </w:r>
      <w:r>
        <w:t xml:space="preserve">[13] The Star / Kyodo. (2026, July 1). Cabinet-approved Imperial House Law revision sparks political friction by wading into succession rules. The Star. https://www.thestar.com.my/aseanplus/aseanplus-news/2026/07/01/cabinet-approved-imperial-house-law-revision-sparks-political-friction-by-wading-into-succession-rules</w:t>
      </w:r>
      <w:r>
        <w:t xml:space="preserve"> </w:t>
      </w:r>
      <w:r>
        <w:t xml:space="preserve">[14] The Japan Times. (2026, June 30). Imperial family law bill to revise adoption rules. The Japan Times. https://www.japantimes.co.jp/news/2026/06/30/japan/imperial-family-law-bill-revise-adopt/</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0b37a8bf215ab63addf17ddd58306c2a29173b3"/>
    <w:p>
      <w:pPr>
        <w:pStyle w:val="Heading3"/>
      </w:pPr>
      <w:r>
        <w:t xml:space="preserve">Japan Backs SoftBank-Led Noetra Consortium with Up to ¥1 Trillion for Domestic Physical AI Foundation Model</w:t>
      </w:r>
    </w:p>
    <w:p>
      <w:pPr>
        <w:pStyle w:val="FirstParagraph"/>
      </w:pPr>
      <w:r>
        <w:t xml:space="preserve">Japan’s government will provide up to ¥1 trillion ($6.16 billion) to a nine-company consortium led by SoftBank Corp. to build a domestic AI foundation model, an announcement made July 1. The fiscal 2026 allocation is ¥387.3 billion, funded through GX Economy Transition Bonds, with the full ¥1 trillion committed across five years. The lead entity, Noetra Corp., was established by SoftBank together with Honda Motor, NEC, and Sony, and won the public tender to run the effort alongside the national innovation apparatus. The government’s disbursement is structured around stage-gate reviews, letting it halt funding if development milestones are missed.</w:t>
      </w:r>
    </w:p>
    <w:p>
      <w:pPr>
        <w:pStyle w:val="BodyText"/>
      </w:pPr>
      <w:r>
        <w:t xml:space="preserve">The target is a multimodal</w:t>
      </w:r>
      <w:r>
        <w:t xml:space="preserve"> </w:t>
      </w:r>
      <w:r>
        <w:t xml:space="preserve">“physical AI”</w:t>
      </w:r>
      <w:r>
        <w:t xml:space="preserve"> </w:t>
      </w:r>
      <w:r>
        <w:t xml:space="preserve">model that fuses language, images, video, and sensor data so robots and industrial systems can interpret and act on the physical world, with an initial model planned within fiscal 2026. Engineers from SoftBank and Preferred Networks will join researchers from AIST to develop it, and the venture initially aims for a model of trillion-parameter scale comparable to leading global systems. Industrial data contributors include NEC, Honda, Sony, MUFG, Sumitomo Mitsui Financial, Mizuho, Nippon Steel, and Kobe Steel, giving the model proprietary training material from manufacturing and finance. METI’s physical AI roadmap targets a 30% share of the global physical AI market for Japan by 2040, positioning the investment as an industrial-policy bet against US and Chinese AI leaders.</w:t>
      </w:r>
    </w:p>
    <w:p>
      <w:pPr>
        <w:pStyle w:val="BodyText"/>
      </w:pPr>
      <w:r>
        <w:rPr>
          <w:b/>
          <w:bCs/>
        </w:rPr>
        <w:t xml:space="preserve">References</w:t>
      </w:r>
      <w:r>
        <w:t xml:space="preserve"> </w:t>
      </w:r>
      <w:r>
        <w:t xml:space="preserve">[15] Nikkei Asia. (2026, July 1). Japan backs SoftBank-led AI models with up to $6.2bn in chasing US, China. Nikkei Asia. https://asia.nikkei.com/business/technology/artificial-intelligence/japan-backs-softbank-led-ai-models-with-up-to-6.2bn-in-chasing-us-china</w:t>
      </w:r>
      <w:r>
        <w:t xml:space="preserve"> </w:t>
      </w:r>
      <w:r>
        <w:t xml:space="preserve">[16] DigiTimes. (2026, July 1). Japan launches US$6.2 billion AI initiative as SoftBank consortium targets physical AI leadership. DigiTimes. https://www.digitimes.com/news/a20260701VL202/japan-ai-investment-industrial-infrastructure.html</w:t>
      </w:r>
    </w:p>
    <w:p>
      <w:r>
        <w:pict>
          <v:rect style="width:0;height:1.5pt" o:hralign="center" o:hrstd="t" o:hr="t"/>
        </w:pict>
      </w:r>
    </w:p>
    <w:bookmarkEnd w:id="17"/>
    <w:bookmarkStart w:id="18" w:name="X412ccd3c5b064a157bc3ecae4e86ea83e556087"/>
    <w:p>
      <w:pPr>
        <w:pStyle w:val="Heading3"/>
      </w:pPr>
      <w:r>
        <w:t xml:space="preserve">Panasonic Holdings Reaches Record ¥11.5tn Valuation on AI Infrastructure Surge, Targets ¥1.4tn AI Sales</w:t>
      </w:r>
    </w:p>
    <w:p>
      <w:pPr>
        <w:pStyle w:val="FirstParagraph"/>
      </w:pPr>
      <w:r>
        <w:t xml:space="preserve">Panasonic Holdings Corp. has reached a record market capitalisation of approximately ¥11.5 trillion ($71 billion), more than doubling its share price over 2026 as demand for products underpinning AI infrastructure — including electronic components, circuit-board materials, and storage batteries used in servers — lifted the stock. The rally reflects investor conviction that the once-sprawling electronics conglomerate has found a durable growth engine in the buildout of data-centre and computing infrastructure.</w:t>
      </w:r>
    </w:p>
    <w:p>
      <w:pPr>
        <w:pStyle w:val="BodyText"/>
      </w:pPr>
      <w:r>
        <w:t xml:space="preserve">The company is targeting approximately ¥1.4 trillion in sales from AI infrastructure-related businesses over the next three years, with reporting pointing to a substantial adjusted operating-profit contribution from those lines by the end of the decade. The push comes despite a ¥40 billion battery defect charge from fiscal 2025, a reminder that the group’s legacy battery operations still carry execution risk. In May 2026, Panasonic’s FY2025 earnings briefing disclosed a ¥500 billion AI infrastructure investment commitment, and the Energy unit is positioning data-centre backup power and energy-storage systems as a core growth driver into the latter half of the decade.</w:t>
      </w:r>
    </w:p>
    <w:p>
      <w:pPr>
        <w:pStyle w:val="BodyText"/>
      </w:pPr>
      <w:r>
        <w:rPr>
          <w:b/>
          <w:bCs/>
        </w:rPr>
        <w:t xml:space="preserve">References</w:t>
      </w:r>
      <w:r>
        <w:t xml:space="preserve"> </w:t>
      </w:r>
      <w:r>
        <w:t xml:space="preserve">[17] The Japan Times. (2026, July 1). Panasonic targets further AI growth to build on record valuation. The Japan Times. https://www.japantimes.co.jp/business/2026/07/01/companies/panasonic-ai-interview/</w:t>
      </w:r>
      <w:r>
        <w:t xml:space="preserve"> </w:t>
      </w:r>
      <w:r>
        <w:t xml:space="preserve">[18] Bloomberg. (2026, July 1). Panasonic targets further AI growth to build on record valuation. Bloomberg. https://www.bloomberg.com/news/articles/2026-07-01/panasonic-targets-further-ai-growth-to-build-on-record-valuation</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1" w:name="society-livelihood"/>
    <w:p>
      <w:pPr>
        <w:pStyle w:val="Heading2"/>
      </w:pPr>
      <w:r>
        <w:t xml:space="preserve">4. Society &amp; Livelihood</w:t>
      </w:r>
    </w:p>
    <w:bookmarkStart w:id="20" w:name="Xe5cabdd0469daf5ea4911b42cc40765245f0a9a"/>
    <w:p>
      <w:pPr>
        <w:pStyle w:val="Heading3"/>
      </w:pPr>
      <w:r>
        <w:t xml:space="preserve">Japan Triples International Departure Tax to ¥3,000 and Raises Visa Fees Fivefold, Effective July 1</w:t>
      </w:r>
    </w:p>
    <w:p>
      <w:pPr>
        <w:pStyle w:val="FirstParagraph"/>
      </w:pPr>
      <w:r>
        <w:t xml:space="preserve">Japan’s international departure tax, informally the</w:t>
      </w:r>
      <w:r>
        <w:t xml:space="preserve"> </w:t>
      </w:r>
      <w:r>
        <w:t xml:space="preserve">“sayonara tax,”</w:t>
      </w:r>
      <w:r>
        <w:t xml:space="preserve"> </w:t>
      </w:r>
      <w:r>
        <w:t xml:space="preserve">tripled to ¥3,000 effective July 1, 2026, up from ¥1,000 introduced in 2019. Tickets purchased on or before June 30 are grandfathered at the old ¥1,000 rate. In parallel, Japan raised visa issuance fees for the first time since 1978: single-entry visas increased fivefold from ¥3,000 to ¥15,000 ($93), and multiple-entry visas doubled from ¥6,000 to ¥30,000. The government cited the need to respond to current price increases and exchange-rate fluctuations, framing the measures as revenue support for tourism and public infrastructure amid record inbound demand.</w:t>
      </w:r>
    </w:p>
    <w:p>
      <w:pPr>
        <w:pStyle w:val="BodyText"/>
      </w:pPr>
      <w:r>
        <w:t xml:space="preserve">The changes fall unevenly. Citizens of approximately 70 visa-free countries — including the US, UK, Canada, Australia, and India — are exempt from the visa-fee rise but still pay the higher departure tax when leaving. Japan recorded 42.4 million foreign visitor arrivals in 2025, underscoring the scale of the traveller base now facing higher exit costs. In a partial offset for citizens, the government cut adult 10-year passport application fees by 43%, from ¥16,300 to ¥9,300 effective July 1, easing the cost of travel documents even as it raises levies on departures.</w:t>
      </w:r>
    </w:p>
    <w:p>
      <w:pPr>
        <w:pStyle w:val="BodyText"/>
      </w:pPr>
      <w:r>
        <w:rPr>
          <w:b/>
          <w:bCs/>
        </w:rPr>
        <w:t xml:space="preserve">References</w:t>
      </w:r>
      <w:r>
        <w:t xml:space="preserve"> </w:t>
      </w:r>
      <w:r>
        <w:t xml:space="preserve">[19] Yeo, A. (2026, June 30). Japan is raising visa fees by up to 400% for the first time in nearly 50 years. Here’s why. CNBC. https://www.cnbc.com/2026/06/30/japan-visa-fees-fivefold-increase-tourism-yen-departure-tax.html</w:t>
      </w:r>
      <w:r>
        <w:t xml:space="preserve"> </w:t>
      </w:r>
      <w:r>
        <w:t xml:space="preserve">[20] Human Resources Online. (2026, June 30). Japan to triple tourist tax and raise visa fees fivefold from 1 July 2026. Human Resources Online. https://www.humanresourcesonline.net/japan-to-triple-tourist-tax-and-raise-visa-fees-fivefold-from-1-july-2026</w:t>
      </w:r>
    </w:p>
    <w:p>
      <w:r>
        <w:pict>
          <v:rect style="width:0;height:1.5pt" o:hralign="center" o:hrstd="t" o:hr="t"/>
        </w:pict>
      </w:r>
    </w:p>
    <w:p>
      <w:pPr>
        <w:pStyle w:val="FirstParagraph"/>
      </w:pPr>
      <w:r>
        <w:rPr>
          <w:i/>
          <w:iCs/>
        </w:rPr>
        <w:t xml:space="preserve">Note: only 1 story met T1-T4 standards for this category today.</w:t>
      </w:r>
    </w:p>
    <w:bookmarkEnd w:id="20"/>
    <w:bookmarkEnd w:id="21"/>
    <w:bookmarkStart w:id="22" w:name="corporate-ipo-ma"/>
    <w:p>
      <w:pPr>
        <w:pStyle w:val="Heading2"/>
      </w:pPr>
      <w:r>
        <w:t xml:space="preserve">5. Corporate IPO &amp; M&amp;A</w:t>
      </w:r>
    </w:p>
    <w:p>
      <w:pPr>
        <w:pStyle w:val="FirstParagraph"/>
      </w:pPr>
      <w:r>
        <w:rPr>
          <w:i/>
          <w:iCs/>
        </w:rPr>
        <w:t xml:space="preserve">Note: only 0 stories met T1-T4 standards for this category today.</w:t>
      </w:r>
    </w:p>
    <w:bookmarkEnd w:id="22"/>
    <w:bookmarkStart w:id="24" w:name="other-notable-events"/>
    <w:p>
      <w:pPr>
        <w:pStyle w:val="Heading2"/>
      </w:pPr>
      <w:r>
        <w:t xml:space="preserve">6. Other Notable Events</w:t>
      </w:r>
    </w:p>
    <w:bookmarkStart w:id="23" w:name="Xb7d96f5c4e0f25a36e205547f47da60a69e134a"/>
    <w:p>
      <w:pPr>
        <w:pStyle w:val="Heading3"/>
      </w:pPr>
      <w:r>
        <w:t xml:space="preserve">Kura Sushi Accelerating US Market Expansion to Pre-empt Rival Sushiro’s Entry</w:t>
      </w:r>
    </w:p>
    <w:p>
      <w:pPr>
        <w:pStyle w:val="FirstParagraph"/>
      </w:pPr>
      <w:r>
        <w:t xml:space="preserve">Kura Sushi — Japan’s leading conveyor-belt sushi (kaiten-zushi) chain — is accelerating its US growth, targeting 20% annual growth in US store numbers in anticipation of rival Sushiro entering the US market later in 2026. Kura Sushi US operates 88 restaurants, with a long-term target of approximately 300 US locations, and the chain opened 16 new US locations in 2026. The land grab is a defensive move to lock in prime sites and value-conscious diners before a well-capitalised competitor arrives.</w:t>
      </w:r>
    </w:p>
    <w:p>
      <w:pPr>
        <w:pStyle w:val="BodyText"/>
      </w:pPr>
      <w:r>
        <w:t xml:space="preserve">US operations CEO Hajime Uba framed the strategy plainly, saying competitors will inevitably expand in the US and that Kura wants to secure those markets before they do. The North American push reflects a broader constraint on Japanese restaurant groups, whose growth in Asia has largely plateaued absent expansion into China, redirecting expansion capital toward the United States. The backdrop of record inbound tourism to Japan — 42.4 million foreign arrivals in 2025 — has raised the global profile of kaiten-zushi, but the decisive battleground for the format’s operators is now the American market, where Kura is racing to convert first-mover advantage into scale before Sushiro’s launch.</w:t>
      </w:r>
    </w:p>
    <w:p>
      <w:pPr>
        <w:pStyle w:val="BodyText"/>
      </w:pPr>
      <w:r>
        <w:rPr>
          <w:b/>
          <w:bCs/>
        </w:rPr>
        <w:t xml:space="preserve">References</w:t>
      </w:r>
      <w:r>
        <w:t xml:space="preserve"> </w:t>
      </w:r>
      <w:r>
        <w:t xml:space="preserve">[21] The Japan Times. (2026, July 1). Kura Sushi to accelerate U.S. growth to fend off rivals’ expansion. The Japan Times. https://www.japantimes.co.jp/business/2026/07/01/companies/kura-sushi-us-growth/</w:t>
      </w:r>
      <w:r>
        <w:t xml:space="preserve"> </w:t>
      </w:r>
      <w:r>
        <w:t xml:space="preserve">[22] Bloomberg. (2026, June 30). Sushi chain in which Trump holds stake accelerates US expansion. Bloomberg. https://www.bloomberg.com/news/articles/2026-06-30/sushi-chain-in-which-trump-holds-stake-accelerates-us-expansion</w:t>
      </w:r>
    </w:p>
    <w:p>
      <w:r>
        <w:pict>
          <v:rect style="width:0;height:1.5pt" o:hralign="center" o:hrstd="t" o:hr="t"/>
        </w:pict>
      </w:r>
    </w:p>
    <w:p>
      <w:pPr>
        <w:pStyle w:val="FirstParagraph"/>
      </w:pPr>
      <w:r>
        <w:rPr>
          <w:i/>
          <w:iCs/>
        </w:rPr>
        <w:t xml:space="preserve">Note: only 1 story met T1-T4 standards for this category today.</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2026-07-01T09:17:35Z</dcterms:created>
  <dcterms:modified xsi:type="dcterms:W3CDTF">2026-07-01T09:17:35Z</dcterms:modified>
</cp:coreProperties>
</file>

<file path=docProps/custom.xml><?xml version="1.0" encoding="utf-8"?>
<Properties xmlns="http://schemas.openxmlformats.org/officeDocument/2006/custom-properties" xmlns:vt="http://schemas.openxmlformats.org/officeDocument/2006/docPropsVTypes"/>
</file>