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82eb900e3f1d70b916e31033cfa6164f34d0ea"/>
    <w:p>
      <w:pPr>
        <w:pStyle w:val="Heading1"/>
      </w:pPr>
      <w:r>
        <w:t xml:space="preserve">China Daily News Intelligence — June 25, 2026</w:t>
      </w:r>
    </w:p>
    <w:bookmarkStart w:id="11" w:name="economy-markets"/>
    <w:p>
      <w:pPr>
        <w:pStyle w:val="Heading2"/>
      </w:pPr>
      <w:r>
        <w:t xml:space="preserve">1. Economy &amp; Markets</w:t>
      </w:r>
    </w:p>
    <w:bookmarkStart w:id="9" w:name="X76b658504ef08ebdfc39ca7f13f6f2cea5e9cba"/>
    <w:p>
      <w:pPr>
        <w:pStyle w:val="Heading3"/>
      </w:pPr>
      <w:r>
        <w:t xml:space="preserve">PBOC Launches Overnight Reverse Repo Operations in Next Stage of Monetary Policy Shift</w:t>
      </w:r>
    </w:p>
    <w:p>
      <w:pPr>
        <w:pStyle w:val="FirstParagraph"/>
      </w:pPr>
      <w:r>
        <w:t xml:space="preserve">The People’s Bank of China announced on June 25, 2026, that it will conduct overnight reverse repurchase operations on June 29 and June 30, 2026 — the first formal deployment of an overnight reverse repo as a standing tool, and a concrete step in the central bank’s long-signalled pivot toward a price-based monetary policy framework. The overnight funds will be offered at a fixed rate, designed to better match the short-term liquidity needs of the banking system and to smooth the intraday swings in borrowing costs that have periodically rattled China’s money markets.</w:t>
      </w:r>
    </w:p>
    <w:p>
      <w:pPr>
        <w:pStyle w:val="BodyText"/>
      </w:pPr>
      <w:r>
        <w:t xml:space="preserve">The operational centerpiece is a tighter interest-rate corridor. The PBOC narrowed the band from 70 basis points to 50 basis points, with the overnight facility rate set at the 7-day reverse repo rate — currently 1.40% — plus or minus 25 basis points. A narrower corridor pins down the upper and lower bounds within which the overnight interbank rate can move, anchoring expectations and pushing the central bank further toward managing a single, short-term policy rate in the manner of the U.S. Federal Reserve and the European Central Bank, rather than steering quantities of credit.</w:t>
      </w:r>
    </w:p>
    <w:p>
      <w:pPr>
        <w:pStyle w:val="BodyText"/>
      </w:pPr>
      <w:r>
        <w:t xml:space="preserve">The shift was telegraphed by Governor Pan Gongsheng at the June 17 Lujiazui Forum in Shanghai, where the PBOC also unveiled a new RMB repo facility for foreign central banks, international financial organizations, and sovereign wealth funds — a move to deepen overseas access to China’s bond market, the world’s second largest.</w:t>
      </w:r>
      <w:r>
        <w:t xml:space="preserve"> </w:t>
      </w:r>
      <w:r>
        <w:t xml:space="preserve">“We will introduce the RMB Repo based on both domestic and international practices,”</w:t>
      </w:r>
      <w:r>
        <w:t xml:space="preserve"> </w:t>
      </w:r>
      <w:r>
        <w:t xml:space="preserve">Pan said. He also framed the broader transition in starker terms, telling the forum that</w:t>
      </w:r>
      <w:r>
        <w:t xml:space="preserve"> </w:t>
      </w:r>
      <w:r>
        <w:t xml:space="preserve">“slower credit growth yet more efficient credit allocation may become a new normal in China’s macro economy.”</w:t>
      </w:r>
      <w:r>
        <w:t xml:space="preserve"> </w:t>
      </w:r>
      <w:r>
        <w:t xml:space="preserve">The BIS published Pan’s Lujiazui speech on the evolution of China’s financial structure on June 24.</w:t>
      </w:r>
    </w:p>
    <w:p>
      <w:pPr>
        <w:pStyle w:val="BodyText"/>
      </w:pPr>
      <w:r>
        <w:t xml:space="preserve">Rates elsewhere stayed frozen. The one-year Loan Prime Rate stands at 3.00% and the five-year LPR at 3.50%, both unchanged for a 13th consecutive month since April 2025. The offshore yuan steadied around 6.81 per dollar on June 25 (USD/CNY: 6.8073), near a one-month low, as the currency held its ground amid the framework overhaul.</w:t>
      </w:r>
    </w:p>
    <w:p>
      <w:pPr>
        <w:pStyle w:val="BodyText"/>
      </w:pPr>
      <w:r>
        <w:rPr>
          <w:b/>
          <w:bCs/>
        </w:rPr>
        <w:t xml:space="preserve">References</w:t>
      </w:r>
    </w:p>
    <w:p>
      <w:pPr>
        <w:pStyle w:val="BodyText"/>
      </w:pPr>
      <w:r>
        <w:t xml:space="preserve">[1] Bloomberg. (2026, June 25). PBOC plans overnight reverse repo in next stage of policy shift. Bloomberg. https://www.bloomberg.com/news/articles/2026-06-25/pboc-plans-overnight-reverse-repo-in-next-stage-of-policy-shift</w:t>
      </w:r>
      <w:r>
        <w:t xml:space="preserve"> </w:t>
      </w:r>
      <w:r>
        <w:t xml:space="preserve">[2] Bank for International Settlements. (2026, June 24). Pan Gongsheng: The evolution of financial structure and the modernization of financial markets in China. BIS. https://www.bis.org/review/r260622q.htm</w:t>
      </w:r>
      <w:r>
        <w:t xml:space="preserve"> </w:t>
      </w:r>
      <w:r>
        <w:t xml:space="preserve">[3] Finadium. (2026, June 18). PBOC to add overnight reverse repo and RMB repo facility. Finadium. https://finadium.com/pboc-to-add-overnight-reverse-repo-and-rmb-repo-facility/</w:t>
      </w:r>
      <w:r>
        <w:t xml:space="preserve"> </w:t>
      </w:r>
      <w:r>
        <w:t xml:space="preserve">[4] Bloomberg. (2026, June 18). PBOC’s new rate regime to aid liquidity and bonds, analysts say. Bloomberg. https://www.bloomberg.com/news/articles/2026-06-18/pboc-s-new-rate-regime-to-aid-liquidity-and-bonds-analysts-say</w:t>
      </w:r>
    </w:p>
    <w:p>
      <w:r>
        <w:pict>
          <v:rect style="width:0;height:1.5pt" o:hralign="center" o:hrstd="t" o:hr="t"/>
        </w:pict>
      </w:r>
    </w:p>
    <w:bookmarkEnd w:id="9"/>
    <w:bookmarkStart w:id="10" w:name="Xa8baef43f9d175699bac8357bc1ff6a2a9cd813"/>
    <w:p>
      <w:pPr>
        <w:pStyle w:val="Heading3"/>
      </w:pPr>
      <w:r>
        <w:t xml:space="preserve">China’s State-Led</w:t>
      </w:r>
      <w:r>
        <w:t xml:space="preserve"> </w:t>
      </w:r>
      <w:r>
        <w:t xml:space="preserve">‘Future Industries’</w:t>
      </w:r>
      <w:r>
        <w:t xml:space="preserve"> </w:t>
      </w:r>
      <w:r>
        <w:t xml:space="preserve">Drive Triggers Unprecedented VC Surge and Bubble Fears</w:t>
      </w:r>
    </w:p>
    <w:p>
      <w:pPr>
        <w:pStyle w:val="FirstParagraph"/>
      </w:pPr>
      <w:r>
        <w:t xml:space="preserve">China’s venture capital and private equity investments totalled 620 billion yuan ($91.6 billion) in the first five months of 2026, a nearly 60% increase year-on-year, as a state-directed innovation push channels a wall of money into a handful of frontier sectors. Newly registered VC funds reached 154 billion yuan over the same period, already surpassing all of 2025, while China-focused dollar funds raised $4 billion as of June 12, 2026 — exceeding the prior two years’ annual totals combined.</w:t>
      </w:r>
    </w:p>
    <w:p>
      <w:pPr>
        <w:pStyle w:val="BodyText"/>
      </w:pPr>
      <w:r>
        <w:t xml:space="preserve">The frenzy traces directly to policy. In its 15th Five-Year Plan, published in March 2026, Beijing designated</w:t>
      </w:r>
      <w:r>
        <w:t xml:space="preserve"> </w:t>
      </w:r>
      <w:r>
        <w:t xml:space="preserve">“strategic emerging and future industries”</w:t>
      </w:r>
      <w:r>
        <w:t xml:space="preserve"> </w:t>
      </w:r>
      <w:r>
        <w:t xml:space="preserve">— space, quantum technology, nuclear fusion, brain-machine interfaces, robotics, and embodied AI — as national priorities, then reinforced the signal with supportive stock-exchange listing rules in June. Capital followed instantly.</w:t>
      </w:r>
      <w:r>
        <w:t xml:space="preserve"> </w:t>
      </w:r>
      <w:r>
        <w:t xml:space="preserve">“The level of frenzy [in China] is something I have never seen in my entire career,”</w:t>
      </w:r>
      <w:r>
        <w:t xml:space="preserve"> </w:t>
      </w:r>
      <w:r>
        <w:t xml:space="preserve">said Yan Kai, a partner at Shanghai-based Ivy Capital. Raymond Feng of Atom Ventures put it more bluntly:</w:t>
      </w:r>
      <w:r>
        <w:t xml:space="preserve"> </w:t>
      </w:r>
      <w:r>
        <w:t xml:space="preserve">“Everyone is throwing money at future industries.”</w:t>
      </w:r>
    </w:p>
    <w:p>
      <w:pPr>
        <w:pStyle w:val="BodyText"/>
      </w:pPr>
      <w:r>
        <w:t xml:space="preserve">The valuations are dizzying. Tectronic Maritime Space Systems, a Shanghai-based rocket startup founded just three months earlier, sought to raise 150 million yuan ($22 million) at a 1.5 billion yuan valuation, projecting a 2032 listing at roughly 50 billion yuan — a 33-fold increase — and promising 26.7x investor returns.</w:t>
      </w:r>
      <w:r>
        <w:t xml:space="preserve"> </w:t>
      </w:r>
      <w:r>
        <w:t xml:space="preserve">“Demand is inelastic, supply is limited and the clock is ticking,”</w:t>
      </w:r>
      <w:r>
        <w:t xml:space="preserve"> </w:t>
      </w:r>
      <w:r>
        <w:t xml:space="preserve">said Gu Mei, the company’s finance manager. Yu Tiecheng, head of Guanghui M&amp;A, described a photonic chip project whose valuation rose from 1 billion yuan to 10 billion yuan in a single year, and a rocket satellite project that jumped from 5 billion yuan at the start of 2026 to 20 billion yuan by June.</w:t>
      </w:r>
    </w:p>
    <w:p>
      <w:pPr>
        <w:pStyle w:val="BodyText"/>
      </w:pPr>
      <w:r>
        <w:t xml:space="preserve">The investor roster reads like a roll call of Chinese venture capital — Ivy Capital, Lantern Capital, Atom Ventures, ZhenFund, Qiming Ventures, and Capital Today among them — chasing names such as LandSpace, described as</w:t>
      </w:r>
      <w:r>
        <w:t xml:space="preserve"> </w:t>
      </w:r>
      <w:r>
        <w:t xml:space="preserve">“China’s closest answer to SpaceX.”</w:t>
      </w:r>
      <w:r>
        <w:t xml:space="preserve"> </w:t>
      </w:r>
      <w:r>
        <w:t xml:space="preserve">One early backer of LandSpace expects a return of nearly 100 times on a decade-old investment, the kind of headline windfall fuelling the fear-of-missing-out that managers warn is now detached from underlying fundamentals.</w:t>
      </w:r>
    </w:p>
    <w:p>
      <w:pPr>
        <w:pStyle w:val="BodyText"/>
      </w:pPr>
      <w:r>
        <w:rPr>
          <w:b/>
          <w:bCs/>
        </w:rPr>
        <w:t xml:space="preserve">References</w:t>
      </w:r>
    </w:p>
    <w:p>
      <w:pPr>
        <w:pStyle w:val="BodyText"/>
      </w:pPr>
      <w:r>
        <w:t xml:space="preserve">[5] The Jakarta Post. (2026, June 25). China’s</w:t>
      </w:r>
      <w:r>
        <w:t xml:space="preserve"> </w:t>
      </w:r>
      <w:r>
        <w:t xml:space="preserve">‘future industries’</w:t>
      </w:r>
      <w:r>
        <w:t xml:space="preserve"> </w:t>
      </w:r>
      <w:r>
        <w:t xml:space="preserve">push triggers flood of venture capital, bubble concerns. The Jakarta Post. http://www.thejakartapost.com/business/2026/06/25/chinas-future-industries-push-triggers-flood-of-venture-capital-bubble-concerns</w:t>
      </w:r>
      <w:r>
        <w:t xml:space="preserve"> </w:t>
      </w:r>
      <w:r>
        <w:t xml:space="preserve">[6] WTVB. (2026, June 24). Analysis-China’s</w:t>
      </w:r>
      <w:r>
        <w:t xml:space="preserve"> </w:t>
      </w:r>
      <w:r>
        <w:t xml:space="preserve">‘future industries’</w:t>
      </w:r>
      <w:r>
        <w:t xml:space="preserve"> </w:t>
      </w:r>
      <w:r>
        <w:t xml:space="preserve">push triggers flood of venture capital, bubble concerns. WTVB. https://wtvbam.com/2026/06/24/analysis-chinas-future-industries-push-triggers-flood-of-venture-capital-bubble-concerns/</w:t>
      </w:r>
      <w:r>
        <w:t xml:space="preserve"> </w:t>
      </w:r>
      <w:r>
        <w:t xml:space="preserve">[7] MarketScreener. (2026, June 24). China’s</w:t>
      </w:r>
      <w:r>
        <w:t xml:space="preserve"> </w:t>
      </w:r>
      <w:r>
        <w:t xml:space="preserve">‘future industries’</w:t>
      </w:r>
      <w:r>
        <w:t xml:space="preserve"> </w:t>
      </w:r>
      <w:r>
        <w:t xml:space="preserve">push triggers flood of venture capital, bubble concerns. MarketScreener. https://www.marketscreener.com/news/china-s-future-industries-push-triggers-flood-of-venture-capital-bubble-concerns-ce7f5fd8d88af627</w:t>
      </w:r>
    </w:p>
    <w:p>
      <w:r>
        <w:pict>
          <v:rect style="width:0;height:1.5pt" o:hralign="center" o:hrstd="t" o:hr="t"/>
        </w:pict>
      </w:r>
    </w:p>
    <w:p>
      <w:pPr>
        <w:pStyle w:val="FirstParagraph"/>
      </w:pPr>
      <w:r>
        <w:rPr>
          <w:i/>
          <w:iCs/>
        </w:rPr>
        <w:t xml:space="preserve">Note: only 2 stories met T1-T4 standards for this category today.</w:t>
      </w:r>
    </w:p>
    <w:bookmarkEnd w:id="10"/>
    <w:bookmarkEnd w:id="11"/>
    <w:bookmarkStart w:id="13" w:name="politics-diplomacy"/>
    <w:p>
      <w:pPr>
        <w:pStyle w:val="Heading2"/>
      </w:pPr>
      <w:r>
        <w:t xml:space="preserve">2. Politics &amp; Diplomacy</w:t>
      </w:r>
    </w:p>
    <w:bookmarkStart w:id="12" w:name="Xb6660c6df4bc7c8764200db2f4d48e1e7fc5413"/>
    <w:p>
      <w:pPr>
        <w:pStyle w:val="Heading3"/>
      </w:pPr>
      <w:r>
        <w:t xml:space="preserve">WEF 17th Annual Meeting of the New Champions Closes in Dalian with China Pledging Open Innovation</w:t>
      </w:r>
    </w:p>
    <w:p>
      <w:pPr>
        <w:pStyle w:val="FirstParagraph"/>
      </w:pPr>
      <w:r>
        <w:t xml:space="preserve">The 17th Annual Meeting of the New Champions — the World Economic Forum gathering widely known as</w:t>
      </w:r>
      <w:r>
        <w:t xml:space="preserve"> </w:t>
      </w:r>
      <w:r>
        <w:t xml:space="preserve">“Summer Davos”</w:t>
      </w:r>
      <w:r>
        <w:t xml:space="preserve"> </w:t>
      </w:r>
      <w:r>
        <w:t xml:space="preserve">— closed on June 25, 2026, in Dalian, northeast China, capping three days (June 23–25) of sessions under the theme</w:t>
      </w:r>
      <w:r>
        <w:t xml:space="preserve"> </w:t>
      </w:r>
      <w:r>
        <w:t xml:space="preserve">“Innovating at Scale.”</w:t>
      </w:r>
      <w:r>
        <w:t xml:space="preserve"> </w:t>
      </w:r>
      <w:r>
        <w:t xml:space="preserve">The meeting drew over 1,700 participants from more than 90 countries and regions, organized around five thematic tracks spanning shifting trade, China’s next chapter, technology in the real economy, jobs for the next generation, and the energy transition as a source of competitiveness.</w:t>
      </w:r>
    </w:p>
    <w:p>
      <w:pPr>
        <w:pStyle w:val="BodyText"/>
      </w:pPr>
      <w:r>
        <w:t xml:space="preserve">Premier Li Qiang opened the plenary with a pitch to reframe global anxiety over China’s export strength, casting the country’s manufacturing and technology surge as</w:t>
      </w:r>
      <w:r>
        <w:t xml:space="preserve"> </w:t>
      </w:r>
      <w:r>
        <w:t xml:space="preserve">“China Opportunity 2.0”</w:t>
      </w:r>
      <w:r>
        <w:t xml:space="preserve"> </w:t>
      </w:r>
      <w:r>
        <w:t xml:space="preserve">rather than</w:t>
      </w:r>
      <w:r>
        <w:t xml:space="preserve"> </w:t>
      </w:r>
      <w:r>
        <w:t xml:space="preserve">“China Shock 2.0.”</w:t>
      </w:r>
      <w:r>
        <w:t xml:space="preserve"> </w:t>
      </w:r>
      <w:r>
        <w:t xml:space="preserve">For global development, he argued, China Opportunity 2.0 means broader access to advanced technologies and more widely shared benefits.</w:t>
      </w:r>
      <w:r>
        <w:t xml:space="preserve"> </w:t>
      </w:r>
      <w:r>
        <w:t xml:space="preserve">“No matter how the world changes, China’s door will only open wider,”</w:t>
      </w:r>
      <w:r>
        <w:t xml:space="preserve"> </w:t>
      </w:r>
      <w:r>
        <w:t xml:space="preserve">Li said, repeating Beijing’s stock pledge of openness amid trade tensions with Washington and Brussels.</w:t>
      </w:r>
    </w:p>
    <w:p>
      <w:pPr>
        <w:pStyle w:val="BodyText"/>
      </w:pPr>
      <w:r>
        <w:t xml:space="preserve">His sharpest remarks were on technology governance.</w:t>
      </w:r>
      <w:r>
        <w:t xml:space="preserve"> </w:t>
      </w:r>
      <w:r>
        <w:t xml:space="preserve">“Without adequate AI governance, the world risks losing control of technology,”</w:t>
      </w:r>
      <w:r>
        <w:t xml:space="preserve"> </w:t>
      </w:r>
      <w:r>
        <w:t xml:space="preserve">Li warned, adding that China would continue to take part in global AI governance in a responsible and constructive manner — a message that landed as governments worldwide debate how fast to regulate frontier systems.</w:t>
      </w:r>
    </w:p>
    <w:p>
      <w:pPr>
        <w:pStyle w:val="BodyText"/>
      </w:pPr>
      <w:r>
        <w:t xml:space="preserve">WEF Managing Director Mirek Dusek closed the forum with a call for the institutional plumbing to turn innovation into deployment.</w:t>
      </w:r>
      <w:r>
        <w:t xml:space="preserve"> </w:t>
      </w:r>
      <w:r>
        <w:t xml:space="preserve">“While the geopolitical landscape is becoming more fragmented, innovations remain deeply interconnected. What the world now requires is the investment architecture, the policy frameworks and the international cooperation to deploy them at great speed and scale,”</w:t>
      </w:r>
      <w:r>
        <w:t xml:space="preserve"> </w:t>
      </w:r>
      <w:r>
        <w:t xml:space="preserve">Dusek said. The next Summer Davos will be held in Tianjin in 2027.</w:t>
      </w:r>
    </w:p>
    <w:p>
      <w:pPr>
        <w:pStyle w:val="BodyText"/>
      </w:pPr>
      <w:r>
        <w:rPr>
          <w:b/>
          <w:bCs/>
        </w:rPr>
        <w:t xml:space="preserve">References</w:t>
      </w:r>
    </w:p>
    <w:p>
      <w:pPr>
        <w:pStyle w:val="BodyText"/>
      </w:pPr>
      <w:r>
        <w:t xml:space="preserve">[8] World Economic Forum. (2026, June 25). Annual Meeting of the New Champions 2026. World Economic Forum. https://www.weforum.org/meetings/annual-meeting-of-the-new-champions-2026/</w:t>
      </w:r>
      <w:r>
        <w:t xml:space="preserve"> </w:t>
      </w:r>
      <w:r>
        <w:t xml:space="preserve">[9] France 24. (2026, June 24). World risks</w:t>
      </w:r>
      <w:r>
        <w:t xml:space="preserve"> </w:t>
      </w:r>
      <w:r>
        <w:t xml:space="preserve">‘losing control of technology’</w:t>
      </w:r>
      <w:r>
        <w:t xml:space="preserve"> </w:t>
      </w:r>
      <w:r>
        <w:t xml:space="preserve">without AI governance, Chinese PM warns. France 24. https://www.france24.com/en/business/20260624-world-risks-losing-control-of-technology-without-ai-governance-warns-chinese-pm</w:t>
      </w:r>
      <w:r>
        <w:t xml:space="preserve"> </w:t>
      </w:r>
      <w:r>
        <w:t xml:space="preserve">[10] Modern Diplomacy. (2026, June 24). Summer Davos 2026: Innovating at Scale in Dalian, China. Modern Diplomacy. https://moderndiplomacy.eu/2026/06/24/summer-davos-2026-innovating-at-scale-in-dalian-china/</w:t>
      </w:r>
    </w:p>
    <w:p>
      <w:r>
        <w:pict>
          <v:rect style="width:0;height:1.5pt" o:hralign="center" o:hrstd="t" o:hr="t"/>
        </w:pict>
      </w:r>
    </w:p>
    <w:p>
      <w:pPr>
        <w:pStyle w:val="FirstParagraph"/>
      </w:pPr>
      <w:r>
        <w:rPr>
          <w:i/>
          <w:iCs/>
        </w:rPr>
        <w:t xml:space="preserve">Note: only 1 story met T1-T4 standards for this category today.</w:t>
      </w:r>
    </w:p>
    <w:bookmarkEnd w:id="12"/>
    <w:bookmarkEnd w:id="13"/>
    <w:bookmarkStart w:id="15" w:name="technology-industry"/>
    <w:p>
      <w:pPr>
        <w:pStyle w:val="Heading2"/>
      </w:pPr>
      <w:r>
        <w:t xml:space="preserve">3. Technology &amp; Industry</w:t>
      </w:r>
    </w:p>
    <w:bookmarkStart w:id="14" w:name="Xdf219d4631634902d93fc0ec14ac09b12090ea4"/>
    <w:p>
      <w:pPr>
        <w:pStyle w:val="Heading3"/>
      </w:pPr>
      <w:r>
        <w:t xml:space="preserve">MWC Shanghai 2026 Day 2: Humanoid Robot Football Finals and China’s 5G-Advanced Commercial Expansion on Display</w:t>
      </w:r>
    </w:p>
    <w:p>
      <w:pPr>
        <w:pStyle w:val="FirstParagraph"/>
      </w:pPr>
      <w:r>
        <w:t xml:space="preserve">MWC26 Shanghai, the GSMA’s 13th annual conference in the city, ran June 24–26, 2026 at the Shanghai New International Expo Centre (SNIEC), and Day 2 turned the spotlight onto machines rather than handsets. From 09:30 Shanghai time on June 25, the Humanoid Robot Football Penalties Challenge — a debut competition framed as a systems-level test of embodied intelligence — staged its semi-finals and finals, with China’s fast-growing low-altitude economy among the event’s highlighted frontiers.</w:t>
      </w:r>
    </w:p>
    <w:p>
      <w:pPr>
        <w:pStyle w:val="BodyText"/>
      </w:pPr>
      <w:r>
        <w:t xml:space="preserve">The robotics theme was set on opening day, June 24, when two HONOR-developed humanoid robots,</w:t>
      </w:r>
      <w:r>
        <w:t xml:space="preserve"> </w:t>
      </w:r>
      <w:r>
        <w:t xml:space="preserve">“Flash”</w:t>
      </w:r>
      <w:r>
        <w:t xml:space="preserve"> </w:t>
      </w:r>
      <w:r>
        <w:t xml:space="preserve">and</w:t>
      </w:r>
      <w:r>
        <w:t xml:space="preserve"> </w:t>
      </w:r>
      <w:r>
        <w:t xml:space="preserve">“Vita Boy,”</w:t>
      </w:r>
      <w:r>
        <w:t xml:space="preserve"> </w:t>
      </w:r>
      <w:r>
        <w:t xml:space="preserve">walked on stage ahead of any human speaker. Flash had won the April 2026 Beijing Yizhuang Humanoid Robot Half Marathon. GSMA Director General Vivek Badrinath used the moment to argue the mobile industry’s mission has shifted from connecting people to enabling intelligent machines.</w:t>
      </w:r>
      <w:r>
        <w:t xml:space="preserve"> </w:t>
      </w:r>
      <w:r>
        <w:t xml:space="preserve">“Operators are partnering with industries to enable robots, drones, connected vehicles, and AI solutions across the economy,”</w:t>
      </w:r>
      <w:r>
        <w:t xml:space="preserve"> </w:t>
      </w:r>
      <w:r>
        <w:t xml:space="preserve">Badrinath said.</w:t>
      </w:r>
    </w:p>
    <w:p>
      <w:pPr>
        <w:pStyle w:val="BodyText"/>
      </w:pPr>
      <w:r>
        <w:t xml:space="preserve">The numbers underline why China hosts the showcase. The country accounts for more than 40% of global 5G connections, and 5G-Advanced — the upgrade that delivers the sub-10-millisecond latency robots need to react in real time — has been commercialized across more than 330 mainland cities, surpassing 30 million users. Mobile technologies generated $1.5 trillion in economic value in China in 2025, a figure the GSMA projects will grow to $2.1 trillion by 2030.</w:t>
      </w:r>
    </w:p>
    <w:p>
      <w:pPr>
        <w:pStyle w:val="BodyText"/>
      </w:pPr>
      <w:r>
        <w:t xml:space="preserve">Commercial deployment was on display too. AgiBot, a Shanghai-based robotics company that produced its 10,000th humanoid robot in March 2026, is rolling out a Robotics-as-a-Service model in partnership with China Telecom. The event gathered approximately 200 speakers and 500 exhibitors.</w:t>
      </w:r>
    </w:p>
    <w:p>
      <w:pPr>
        <w:pStyle w:val="BodyText"/>
      </w:pPr>
      <w:r>
        <w:rPr>
          <w:b/>
          <w:bCs/>
        </w:rPr>
        <w:t xml:space="preserve">References</w:t>
      </w:r>
    </w:p>
    <w:p>
      <w:pPr>
        <w:pStyle w:val="BodyText"/>
      </w:pPr>
      <w:r>
        <w:t xml:space="preserve">[11] TechNode Global. (2026, June 25). GSMA MWC26 Shanghai opens doors as AI, robotics and drones lead packed agenda. TechNode Global. https://technode.global/2026/06/25/gsma-mwc26-shanghai-open-doors-as-ai-robotics-and-drones-lead-packed-agenda/</w:t>
      </w:r>
      <w:r>
        <w:t xml:space="preserve"> </w:t>
      </w:r>
      <w:r>
        <w:t xml:space="preserve">[12] IoT Now. (2026, June 24). GSMA MWC26 Shanghai opens doors as AI, robotics and drones lead packed agenda. IoT Now. https://iot-now.com/2026/06/24/157172-gsma-mwc26-shanghai-opens-doors-as-ai-robotics-and-drones-lead-packed-agenda/</w:t>
      </w:r>
      <w:r>
        <w:t xml:space="preserve"> </w:t>
      </w:r>
      <w:r>
        <w:t xml:space="preserve">[13] MWC Shanghai. (2026, June 24). MWC26 Shanghai. GSMA. https://www.mwcshanghai.com/</w:t>
      </w:r>
    </w:p>
    <w:p>
      <w:r>
        <w:pict>
          <v:rect style="width:0;height:1.5pt" o:hralign="center" o:hrstd="t" o:hr="t"/>
        </w:pict>
      </w:r>
    </w:p>
    <w:p>
      <w:pPr>
        <w:pStyle w:val="FirstParagraph"/>
      </w:pPr>
      <w:r>
        <w:rPr>
          <w:i/>
          <w:iCs/>
        </w:rPr>
        <w:t xml:space="preserve">Note: only 1 story met T1-T4 standards for this category today.</w:t>
      </w:r>
    </w:p>
    <w:bookmarkEnd w:id="14"/>
    <w:bookmarkEnd w:id="15"/>
    <w:bookmarkStart w:id="16" w:name="society-livelihood"/>
    <w:p>
      <w:pPr>
        <w:pStyle w:val="Heading2"/>
      </w:pPr>
      <w:r>
        <w:t xml:space="preserve">4. Society &amp; Livelihood</w:t>
      </w:r>
    </w:p>
    <w:p>
      <w:pPr>
        <w:pStyle w:val="FirstParagraph"/>
      </w:pPr>
      <w:r>
        <w:rPr>
          <w:i/>
          <w:iCs/>
        </w:rPr>
        <w:t xml:space="preserve">Note: only 0 stories met T1-T4 standards for this category today.</w:t>
      </w:r>
    </w:p>
    <w:bookmarkEnd w:id="16"/>
    <w:bookmarkStart w:id="17" w:name="china-nexus-finance-investment"/>
    <w:p>
      <w:pPr>
        <w:pStyle w:val="Heading2"/>
      </w:pPr>
      <w:r>
        <w:t xml:space="preserve">5. China-Nexus Finance &amp; Investment</w:t>
      </w:r>
    </w:p>
    <w:p>
      <w:pPr>
        <w:pStyle w:val="FirstParagraph"/>
      </w:pPr>
      <w:r>
        <w:rPr>
          <w:i/>
          <w:iCs/>
        </w:rPr>
        <w:t xml:space="preserve">Note: only 0 stories met T1-T4 standards for this category today.</w:t>
      </w:r>
    </w:p>
    <w:bookmarkEnd w:id="17"/>
    <w:bookmarkStart w:id="19" w:name="corporate-ipo-ma"/>
    <w:p>
      <w:pPr>
        <w:pStyle w:val="Heading2"/>
      </w:pPr>
      <w:r>
        <w:t xml:space="preserve">6. Corporate IPO &amp; M&amp;A</w:t>
      </w:r>
    </w:p>
    <w:bookmarkStart w:id="18" w:name="Xf03691275b38f8963a40c0006d3775937627e34"/>
    <w:p>
      <w:pPr>
        <w:pStyle w:val="Heading3"/>
      </w:pPr>
      <w:r>
        <w:t xml:space="preserve">Momenta Global Releases HKEX Post-Hearing Listing Materials, Targets ~$900M–$1B Hong Kong IPO</w:t>
      </w:r>
    </w:p>
    <w:p>
      <w:pPr>
        <w:pStyle w:val="FirstParagraph"/>
      </w:pPr>
      <w:r>
        <w:t xml:space="preserve">Momenta Global Limited, a Chinese autonomous driving technology company founded in 2016 by CEO Cao Xudong in Suzhou, Jiangsu, released post-hearing listing application materials on the HKEX Main Board on June 23, 2026, after clearing its listing hearing and moving into the final stretch toward a public debut. The company is targeting roughly $900 million to $1 billion in proceeds at a valuation of approximately $9 billion, with a formal roadshow expected around June 30 and a listing date set for July 8, 2026.</w:t>
      </w:r>
    </w:p>
    <w:p>
      <w:pPr>
        <w:pStyle w:val="BodyText"/>
      </w:pPr>
      <w:r>
        <w:t xml:space="preserve">The regulatory path is cleared. The China Securities Regulatory Commission issued a filing notice on June 10, 2026, authorizing the issuance of up to 43,754,060 overseas-listed ordinary shares — a step that followed Momenta’s earlier pivot to Hong Kong after a U.S. listing route was abandoned. The offering would rank among the larger Hong Kong tech IPOs of the year.</w:t>
      </w:r>
    </w:p>
    <w:p>
      <w:pPr>
        <w:pStyle w:val="BodyText"/>
      </w:pPr>
      <w:r>
        <w:t xml:space="preserve">The financials show a company growing fast but burning cash. Momenta generated 2.41 billion yuan ($354.4 million) in revenue in 2025 at a gross margin of 71.6%, while posting a net loss of 3.46 billion yuan ($508.8 million) against R&amp;D spending of 1.87 billion yuan. The company claims a 64.5% global market share in urban Level 2 ADAS by vehicle sales volume, citing Frost &amp; Sullivan, and reports 170 vehicle design wins with 68 models in mass production.</w:t>
      </w:r>
    </w:p>
    <w:p>
      <w:pPr>
        <w:pStyle w:val="BodyText"/>
      </w:pPr>
      <w:r>
        <w:t xml:space="preserve">What sets the deal apart is its shareholder list. Major pre-IPO backers include SAIC Motor (9.45%), General Motors (9.37%), Mercedes-Benz (6.39%), and Toyota (1.54%), with BYD, Chery, and Hyundai also among investors — a rare lineup of competing global automakers on a single cap table. General Motors alone invested $300 million in Momenta in 2021. Proceeds are earmarked for R&amp;D, AI computing, robotaxi commercialization, and international Level 4 fleet deployment, including partnerships with Uber, Mercedes-Benz in Munich and Abu Dhabi, and Grab in Southeast Asia.</w:t>
      </w:r>
    </w:p>
    <w:p>
      <w:pPr>
        <w:pStyle w:val="BodyText"/>
      </w:pPr>
      <w:r>
        <w:rPr>
          <w:b/>
          <w:bCs/>
        </w:rPr>
        <w:t xml:space="preserve">References</w:t>
      </w:r>
    </w:p>
    <w:p>
      <w:pPr>
        <w:pStyle w:val="BodyText"/>
      </w:pPr>
      <w:r>
        <w:t xml:space="preserve">[14] CarnewsChina. (2026, June 25). Backed by global auto giants, Chinese autonomous driving startup Momenta files for HKEX IPO. CarnewsChina. https://carnewschina.com/2026/06/25/backed-by-global-auto-giants-chinese-autonomous-driving-startup-momenta-files-for-hkex-ipo/</w:t>
      </w:r>
      <w:r>
        <w:t xml:space="preserve"> </w:t>
      </w:r>
      <w:r>
        <w:t xml:space="preserve">[15] Bloomberg. (2026, June 23). GM-backed self-driving firm Momenta said to near Hong Kong IPO. Bloomberg. https://www.bloomberg.com/news/articles/2026-06-23/gm-backed-self-driving-firm-momenta-said-to-near-hong-kong-ipo</w:t>
      </w:r>
      <w:r>
        <w:t xml:space="preserve"> </w:t>
      </w:r>
      <w:r>
        <w:t xml:space="preserve">[16] Reuters. (2026, June 24). Momenta Global’s Hong Kong IPO filed with China’s securities regulator. TradingView. https://www.tradingview.com/news/reuters.com,2026:newsml_P8N40T0AM:0-momenta-global-s-hong-kong-ipo-filed-with-china-s-securities-regulator/</w:t>
      </w:r>
      <w:r>
        <w:t xml:space="preserve"> </w:t>
      </w:r>
      <w:r>
        <w:t xml:space="preserve">[17] Caproasia. (2026, June 24). China autonomous driving company Momenta Hong Kong IPO to raise $900 million at $9 billion valuation. Caproasia. https://www.caproasia.com/2026/06/24/china-autonomous-driving-company-momenta-hong-kong-ipo-to-raise-900-million-at-9-billion-valuation-with-expected-ipo-listing-on-8th-july-2026-founded-in-2016-by-cao-xudong/</w:t>
      </w:r>
      <w:r>
        <w:t xml:space="preserve"> </w:t>
      </w:r>
      <w:r>
        <w:t xml:space="preserve">[18] Just Auto. (2026, June 24). Momenta prepares $1bn Hong Kong IPO. Just Auto. https://www.just-auto.com/news/momenta-prepares-1bn-hong-kong-ipo/</w:t>
      </w:r>
    </w:p>
    <w:p>
      <w:r>
        <w:pict>
          <v:rect style="width:0;height:1.5pt" o:hralign="center" o:hrstd="t" o:hr="t"/>
        </w:pict>
      </w:r>
    </w:p>
    <w:p>
      <w:pPr>
        <w:pStyle w:val="FirstParagraph"/>
      </w:pPr>
      <w:r>
        <w:rPr>
          <w:i/>
          <w:iCs/>
        </w:rPr>
        <w:t xml:space="preserve">Note: only 1 story met T1-T4 standards for this category today.</w:t>
      </w:r>
    </w:p>
    <w:bookmarkEnd w:id="18"/>
    <w:bookmarkEnd w:id="19"/>
    <w:bookmarkStart w:id="20" w:name="other-notable-events"/>
    <w:p>
      <w:pPr>
        <w:pStyle w:val="Heading2"/>
      </w:pPr>
      <w:r>
        <w:t xml:space="preserve">7. Other Notable Events</w:t>
      </w:r>
    </w:p>
    <w:p>
      <w:pPr>
        <w:pStyle w:val="FirstParagraph"/>
      </w:pPr>
      <w:r>
        <w:rPr>
          <w:i/>
          <w:iCs/>
        </w:rPr>
        <w:t xml:space="preserve">Note: only 0 stories met T1-T4 standards for this category today.</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2026-06-25T09:07:06Z</dcterms:created>
  <dcterms:modified xsi:type="dcterms:W3CDTF">2026-06-25T09:07:06Z</dcterms:modified>
</cp:coreProperties>
</file>

<file path=docProps/custom.xml><?xml version="1.0" encoding="utf-8"?>
<Properties xmlns="http://schemas.openxmlformats.org/officeDocument/2006/custom-properties" xmlns:vt="http://schemas.openxmlformats.org/officeDocument/2006/docPropsVTypes"/>
</file>