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X0b33eb042fb48319e09227908eced626b8a4f99"/>
    <w:p>
      <w:pPr>
        <w:pStyle w:val="Heading1"/>
      </w:pPr>
      <w:r>
        <w:t xml:space="preserve">Europe Daily News Intelligence — June 29, 2026</w:t>
      </w:r>
    </w:p>
    <w:bookmarkStart w:id="12" w:name="economy-markets"/>
    <w:p>
      <w:pPr>
        <w:pStyle w:val="Heading2"/>
      </w:pPr>
      <w:r>
        <w:t xml:space="preserve">1. Economy &amp; Markets</w:t>
      </w:r>
    </w:p>
    <w:bookmarkStart w:id="9" w:name="Xe80f9a5452baa5d9ad2fde5b2e50dc4c449565a"/>
    <w:p>
      <w:pPr>
        <w:pStyle w:val="Heading3"/>
      </w:pPr>
      <w:r>
        <w:t xml:space="preserve">ECB’s Sintra forum opens with Lagarde keynote on Europe’s growth and stability</w:t>
      </w:r>
    </w:p>
    <w:p>
      <w:pPr>
        <w:pStyle w:val="FirstParagraph"/>
      </w:pPr>
      <w:r>
        <w:t xml:space="preserve">Christine Lagarde delivered the opening speech of the ECB Forum on Central Banking on the evening of 29 June in Sintra, Portugal, with the live stream of her remarks beginning at 20:00 CET. The three-day gathering, running from 29 June to 1 July under the theme</w:t>
      </w:r>
      <w:r>
        <w:t xml:space="preserve"> </w:t>
      </w:r>
      <w:r>
        <w:t xml:space="preserve">“Shaping Europe’s future: innovation, growth and stability,”</w:t>
      </w:r>
      <w:r>
        <w:t xml:space="preserve"> </w:t>
      </w:r>
      <w:r>
        <w:t xml:space="preserve">is the ECB’s flagship annual conference — the eurozone’s answer to the US Federal Reserve’s Jackson Hole symposium, where central bankers, academics and market figures meet by invitation to debate the policy questions of the year.</w:t>
      </w:r>
    </w:p>
    <w:p>
      <w:pPr>
        <w:pStyle w:val="BodyText"/>
      </w:pPr>
      <w:r>
        <w:t xml:space="preserve">The timing sharpens every word. The ECB raised its three key rates by 25 basis points earlier in June, lifting the deposit facility to 2.25% with effect from 17 June, a reversal of the easing cycle that had taken rates down from a 4% peak. Eurozone growth is projected at just 0.8% for 2026 — well below potential — while inflation averages 3.0%, leaving policymakers caught between a stalling economy and prices that refuse to settle at target.</w:t>
      </w:r>
    </w:p>
    <w:p>
      <w:pPr>
        <w:pStyle w:val="BodyText"/>
      </w:pPr>
      <w:r>
        <w:t xml:space="preserve">Substantive sessions begin 30 June and run through European productivity, bank regulation, artificial intelligence, the economics of migration, and the tokenization of financial transactions. The speaker roster reaches well beyond Frankfurt: Bank of England Governor Andrew Bailey, Bank of Canada Governor Tiff Macklem, IMF Financial Counsellor Tobias Adrian, and Bank of Italy Governor Fabio Panetta are all scheduled. Markets will read Lagarde’s framing for any hint of where rates go from here, with the next major Governing Council deliberations due in September.</w:t>
      </w:r>
    </w:p>
    <w:p>
      <w:pPr>
        <w:pStyle w:val="BodyText"/>
      </w:pPr>
      <w:r>
        <w:rPr>
          <w:b/>
          <w:bCs/>
        </w:rPr>
        <w:t xml:space="preserve">References</w:t>
      </w:r>
    </w:p>
    <w:p>
      <w:pPr>
        <w:pStyle w:val="BodyText"/>
      </w:pPr>
      <w:r>
        <w:t xml:space="preserve">[1] European Central Bank. (2026, June 29). ECB Forum on Central Banking 2026. European Central Bank. https://www.ecb.europa.eu/press/conferences/html/20260629_ecb_forum_on_central_banking.en.html</w:t>
      </w:r>
      <w:r>
        <w:t xml:space="preserve"> </w:t>
      </w:r>
      <w:r>
        <w:t xml:space="preserve">[2] European Central Bank. (2026, June 11). Monetary policy decisions. European Central Bank. https://www.ecb.europa.eu/press/pr/date/2026/html/ecb.mp260611~4d41bd5e83.en.html</w:t>
      </w:r>
    </w:p>
    <w:p>
      <w:r>
        <w:pict>
          <v:rect style="width:0;height:1.5pt" o:hralign="center" o:hrstd="t" o:hr="t"/>
        </w:pict>
      </w:r>
    </w:p>
    <w:bookmarkEnd w:id="9"/>
    <w:bookmarkStart w:id="10" w:name="X0a024437f8f381ed36c7e62f252427f4a2a8eb2"/>
    <w:p>
      <w:pPr>
        <w:pStyle w:val="Heading3"/>
      </w:pPr>
      <w:r>
        <w:t xml:space="preserve">Eurozone M3 money supply quickens to 3.2% as corporate credit jumps to 4.0%</w:t>
      </w:r>
    </w:p>
    <w:p>
      <w:pPr>
        <w:pStyle w:val="FirstParagraph"/>
      </w:pPr>
      <w:r>
        <w:t xml:space="preserve">The annual growth rate of the eurozone’s broad money supply M3 rose to 3.2% in May 2026 from 2.7% in April, the European Central Bank reported, with the three-month average through May running at 3.0%. The acceleration was broad: narrow money M1 — currency and overnight deposits — climbed to 4.0% from 3.8%, short-term deposits other than overnight (M2-M1) rose to 1.4% from 0.9%, and marketable instruments (M3-M2) jumped to 3.2% from 0.9%.</w:t>
      </w:r>
    </w:p>
    <w:p>
      <w:pPr>
        <w:pStyle w:val="BodyText"/>
      </w:pPr>
      <w:r>
        <w:t xml:space="preserve">The sharpest signal sits in lending to companies. Adjusted loans to non-financial corporations accelerated to 4.0% in May from 3.4% in April, while loans to households edged up to 3.1% from 3.0%. Rising corporate borrowing points to recovering investment demand and suggests the ECB’s earlier rate cuts from a 4% peak are feeding through to the real economy — evidence that the credit crunch some analysts had feared has not materialised.</w:t>
      </w:r>
    </w:p>
    <w:p>
      <w:pPr>
        <w:pStyle w:val="BodyText"/>
      </w:pPr>
      <w:r>
        <w:t xml:space="preserve">The release lands directly into the Sintra forum’s policy debate and will inform the Governing Council’s September meeting. A full statistical annex accompanied the figures on the same date.</w:t>
      </w:r>
    </w:p>
    <w:p>
      <w:pPr>
        <w:pStyle w:val="BodyText"/>
      </w:pPr>
      <w:r>
        <w:rPr>
          <w:b/>
          <w:bCs/>
        </w:rPr>
        <w:t xml:space="preserve">References</w:t>
      </w:r>
    </w:p>
    <w:p>
      <w:pPr>
        <w:pStyle w:val="BodyText"/>
      </w:pPr>
      <w:r>
        <w:t xml:space="preserve">[3] European Central Bank. (2026, June 29). Monetary developments in the euro area: May 2026. European Central Bank. https://www.ecb.europa.eu/press/stats/md/html/ecb.md2605~3c7ea02712.en.html</w:t>
      </w:r>
      <w:r>
        <w:t xml:space="preserve"> </w:t>
      </w:r>
      <w:r>
        <w:t xml:space="preserve">[4] Crypto Briefing. (2026, June 29). ECB May data shows euro area lending and money supply ticked higher. Crypto Briefing. https://cryptobriefing.com/ecb-may-bank-lending-money-supply/</w:t>
      </w:r>
    </w:p>
    <w:p>
      <w:r>
        <w:pict>
          <v:rect style="width:0;height:1.5pt" o:hralign="center" o:hrstd="t" o:hr="t"/>
        </w:pict>
      </w:r>
    </w:p>
    <w:bookmarkEnd w:id="10"/>
    <w:bookmarkStart w:id="11" w:name="X3604db8392c2fffd24e8b4ab2b6d23ff80c1689"/>
    <w:p>
      <w:pPr>
        <w:pStyle w:val="Heading3"/>
      </w:pPr>
      <w:r>
        <w:t xml:space="preserve">Eurozone sentiment climbs to 95.0 in June but firms pull back on hiring plans</w:t>
      </w:r>
    </w:p>
    <w:p>
      <w:pPr>
        <w:pStyle w:val="FirstParagraph"/>
      </w:pPr>
      <w:r>
        <w:t xml:space="preserve">The eurozone’s Economic Sentiment Indicator rose to 95.0 in June from 93.7, and to 95.1 from 93.8 across the wider EU, the European Commission’s DG ECFIN reported — confidence improving in industry, services, retail and among consumers, with construction the only sector to deteriorate. Sentiment strengthened most in the Netherlands, Germany and Italy, while France was broadly flat.</w:t>
      </w:r>
    </w:p>
    <w:p>
      <w:pPr>
        <w:pStyle w:val="BodyText"/>
      </w:pPr>
      <w:r>
        <w:t xml:space="preserve">Beneath the headline, the warning sign is hiring. The Employment Expectations Indicator fell sharply to 92.2 in the eurozone from 94.4, and to 92.9 in the EU from 95.2. Firms are more optimistic about conditions yet markedly less willing to add staff — a divergence pointing to demand uncertainty, US tariff pressure and elevated labour costs. The headline indicator also remains below its long-term average of 100, confirming a recovery that is real but still fragile.</w:t>
      </w:r>
    </w:p>
    <w:p>
      <w:pPr>
        <w:pStyle w:val="BodyText"/>
      </w:pPr>
      <w:r>
        <w:rPr>
          <w:b/>
          <w:bCs/>
        </w:rPr>
        <w:t xml:space="preserve">References</w:t>
      </w:r>
    </w:p>
    <w:p>
      <w:pPr>
        <w:pStyle w:val="BodyText"/>
      </w:pPr>
      <w:r>
        <w:t xml:space="preserve">[5] European Commission DG ECFIN. (2026, June 29). Business and consumer surveys: June 2026. European Commission. https://economy-finance.ec.europa.eu/economic-forecast-and-surveys/business-and-consumer-surveys/latest-business-and-consumer-surveys_en</w:t>
      </w:r>
      <w:r>
        <w:t xml:space="preserve"> </w:t>
      </w:r>
      <w:r>
        <w:t xml:space="preserve">[6] ActionForex. (2026, June 29). Eurozone economic sentiment improves further, but hiring expectations weaken. ActionForex. https://www.actionforex.com/live-comments/645499-eurozone-economic-sentiment-improves-further-but-hiring-expectations-weaken/</w:t>
      </w:r>
    </w:p>
    <w:p>
      <w:r>
        <w:pict>
          <v:rect style="width:0;height:1.5pt" o:hralign="center" o:hrstd="t" o:hr="t"/>
        </w:pict>
      </w:r>
    </w:p>
    <w:bookmarkEnd w:id="11"/>
    <w:bookmarkEnd w:id="12"/>
    <w:bookmarkStart w:id="16" w:name="politics-diplomacy"/>
    <w:p>
      <w:pPr>
        <w:pStyle w:val="Heading2"/>
      </w:pPr>
      <w:r>
        <w:t xml:space="preserve">2. Politics &amp; Diplomacy</w:t>
      </w:r>
    </w:p>
    <w:bookmarkStart w:id="13" w:name="X9e97e94fb1a4d60370cd52073ada14b14abc8eb"/>
    <w:p>
      <w:pPr>
        <w:pStyle w:val="Heading3"/>
      </w:pPr>
      <w:r>
        <w:t xml:space="preserve">EU and China hold trade talks in Brussels over a €360bn goods deficit</w:t>
      </w:r>
    </w:p>
    <w:p>
      <w:pPr>
        <w:pStyle w:val="FirstParagraph"/>
      </w:pPr>
      <w:r>
        <w:t xml:space="preserve">EU trade chief Maros Sefcovic hosted Chinese Commerce Minister Wang Wentao in Brussels on Monday for day-long talks, the highest-level EU-China trade engagement of 2026. At the centre sits a goods trade deficit of around €360 billion ($410 billion) the bloc ran with China in 2025. Sefcovic planned to tell Wang directly that</w:t>
      </w:r>
      <w:r>
        <w:t xml:space="preserve"> </w:t>
      </w:r>
      <w:r>
        <w:t xml:space="preserve">“the current imbalances are unsustainable for the EU,”</w:t>
      </w:r>
      <w:r>
        <w:t xml:space="preserve"> </w:t>
      </w:r>
      <w:r>
        <w:t xml:space="preserve">before hosting a dinner that evening.</w:t>
      </w:r>
    </w:p>
    <w:p>
      <w:pPr>
        <w:pStyle w:val="BodyText"/>
      </w:pPr>
      <w:r>
        <w:t xml:space="preserve">Brussels arrives with a thickening toolkit and a thinning hand. Sefcovic’s office has drafted an</w:t>
      </w:r>
      <w:r>
        <w:t xml:space="preserve"> </w:t>
      </w:r>
      <w:r>
        <w:t xml:space="preserve">“overcapacity”</w:t>
      </w:r>
      <w:r>
        <w:t xml:space="preserve"> </w:t>
      </w:r>
      <w:r>
        <w:t xml:space="preserve">instrument that would let the EU impose tariffs and import limits on a swathe of Chinese industrial goods, alongside a</w:t>
      </w:r>
      <w:r>
        <w:t xml:space="preserve"> </w:t>
      </w:r>
      <w:r>
        <w:t xml:space="preserve">“diversification”</w:t>
      </w:r>
      <w:r>
        <w:t xml:space="preserve"> </w:t>
      </w:r>
      <w:r>
        <w:t xml:space="preserve">instrument forcing European companies to spread supply sources in critical sectors such as chips and rare earths. The Commission’s case rests on hard asymmetries: Chinese firms received roughly three times more state support than OECD-nation businesses between 2005 and 2024, and China produces about 30 percent of global manufacturing output while consuming only 13 percent.</w:t>
      </w:r>
    </w:p>
    <w:p>
      <w:pPr>
        <w:pStyle w:val="BodyText"/>
      </w:pPr>
      <w:r>
        <w:t xml:space="preserve">Sefcovic’s leverage has been undercut by his own side. In the preceding weeks several European heads of government made investment-seeking trips to Beijing, sending mixed signals just as the bloc tried to present a united negotiating front. The most likely result is a joint statement pledging continued dialogue, with unilateral EU measures deferred to autumn 2026 — when officials expect safeguard actions and the overcapacity instrument to take shape. The talks open on the very day the EU’s new €3 customs duty on low-value parcels enters force, a pointed reminder of the pressure already building.</w:t>
      </w:r>
    </w:p>
    <w:p>
      <w:pPr>
        <w:pStyle w:val="BodyText"/>
      </w:pPr>
      <w:r>
        <w:rPr>
          <w:b/>
          <w:bCs/>
        </w:rPr>
        <w:t xml:space="preserve">References</w:t>
      </w:r>
    </w:p>
    <w:p>
      <w:pPr>
        <w:pStyle w:val="BodyText"/>
      </w:pPr>
      <w:r>
        <w:t xml:space="preserve">[7] AFP. (2026, June 29). EU, China trade tensions loom over minister visit. BSS News. https://www.bssnews.net/business/400794</w:t>
      </w:r>
      <w:r>
        <w:t xml:space="preserve"> </w:t>
      </w:r>
      <w:r>
        <w:t xml:space="preserve">[8] EUobserver. (2026, June 26). EU’s Sefcovic going into China trade talks hobbled by European leaders’ flip-flopping. EUobserver. https://euobserver.com/224256/eus-sefcovic-going-into-china-trade-talks-hobbled-by-european-leaders-flip-flopping/</w:t>
      </w:r>
      <w:r>
        <w:t xml:space="preserve"> </w:t>
      </w:r>
      <w:r>
        <w:t xml:space="preserve">[9] Bloomberg. (2026, June 29). China’s commerce minister visits Europe for trade talks. Bloomberg. https://www.bloomberg.com/news/videos/2026-06-29/china-s-commerce-minister-visits-europe-for-trade-talks-video</w:t>
      </w:r>
      <w:r>
        <w:t xml:space="preserve"> </w:t>
      </w:r>
      <w:r>
        <w:t xml:space="preserve">[10] South China Morning Post. (2026, June 29). China’s commerce chief Wang Wentao expected in Brussels on June 29 and 30: sources. South China Morning Post. https://www.scmp.com/news/china/diplomacy/article/3354481/chinas-commerce-chief-wang-wentao-expected-brussels-june-29-and-30-sources</w:t>
      </w:r>
    </w:p>
    <w:p>
      <w:r>
        <w:pict>
          <v:rect style="width:0;height:1.5pt" o:hralign="center" o:hrstd="t" o:hr="t"/>
        </w:pict>
      </w:r>
    </w:p>
    <w:bookmarkEnd w:id="13"/>
    <w:bookmarkStart w:id="14" w:name="X4a57647c3eb1d58cc50aa46c01c5373421890be"/>
    <w:p>
      <w:pPr>
        <w:pStyle w:val="Heading3"/>
      </w:pPr>
      <w:r>
        <w:t xml:space="preserve">EU social affairs ministers meet in Luxembourg on housing affordability</w:t>
      </w:r>
    </w:p>
    <w:p>
      <w:pPr>
        <w:pStyle w:val="FirstParagraph"/>
      </w:pPr>
      <w:r>
        <w:t xml:space="preserve">Social affairs ministers from all 27 EU member states convened in Luxembourg on 29 June for the EPSCO Council, with a briefing at 09:00 and a press conference scheduled for 18:00. Top of the agenda: draft Council conclusions on housing and shifting demographics, alongside Employment Committee multilateral surveillance reviews assessing each member state’s progress against the European Pillar of Social Rights targets.</w:t>
      </w:r>
    </w:p>
    <w:p>
      <w:pPr>
        <w:pStyle w:val="BodyText"/>
      </w:pPr>
      <w:r>
        <w:t xml:space="preserve">Housing is the political centre of gravity. Costs have risen faster than incomes across the eurozone for more than a decade, and the conclusions adopted here are the culmination of the Commission’s Housing Affordability Action Plan from February 2026. Though non-binding, they carry weight: they will steer EU financial instruments — including InvestEU and Cohesion Policy allocations — toward social and affordable housing through 2030, and the surveillance reviews can trigger country-specific employment recommendations.</w:t>
      </w:r>
    </w:p>
    <w:p>
      <w:pPr>
        <w:pStyle w:val="BodyText"/>
      </w:pPr>
      <w:r>
        <w:t xml:space="preserve">The session also marks an ending. It is the final major policy meeting under the Polish Council Presidency, whose six-month term concludes on 30 June and which made housing and social inclusion its signature priorities. The debate unfolds against the backdrop of a record heatwave that has exposed how poorly Europe’s housing stock copes with extreme heat.</w:t>
      </w:r>
    </w:p>
    <w:p>
      <w:pPr>
        <w:pStyle w:val="BodyText"/>
      </w:pPr>
      <w:r>
        <w:rPr>
          <w:b/>
          <w:bCs/>
        </w:rPr>
        <w:t xml:space="preserve">References</w:t>
      </w:r>
    </w:p>
    <w:p>
      <w:pPr>
        <w:pStyle w:val="BodyText"/>
      </w:pPr>
      <w:r>
        <w:t xml:space="preserve">[11] Council of the European Union. (2026, June 29). Employment, Social Policy, Health and Consumer Affairs Council (Social policy), 29 June 2026. Council of the European Union. https://www.consilium.europa.eu/en/meetings/epsco/2026/06/29/</w:t>
      </w:r>
    </w:p>
    <w:p>
      <w:r>
        <w:pict>
          <v:rect style="width:0;height:1.5pt" o:hralign="center" o:hrstd="t" o:hr="t"/>
        </w:pict>
      </w:r>
    </w:p>
    <w:bookmarkEnd w:id="14"/>
    <w:bookmarkStart w:id="15" w:name="X8973f8f4b5ac6eae6864f52d0ded5962687a45c"/>
    <w:p>
      <w:pPr>
        <w:pStyle w:val="Heading3"/>
      </w:pPr>
      <w:r>
        <w:t xml:space="preserve">EU’s flat €3 duty on low-value parcels takes effect, hitting Chinese e-commerce</w:t>
      </w:r>
    </w:p>
    <w:p>
      <w:pPr>
        <w:pStyle w:val="FirstParagraph"/>
      </w:pPr>
      <w:r>
        <w:t xml:space="preserve">A €3 customs duty on every low-value parcel entering the EU came into force on 29 June 2026, ending the de minimis regime under which goods worth less than €150 had arrived free of customs duties and processing fees. The measure targets the flood of cheap imports — primarily from Chinese platforms Temu, Shein and AliExpress — that had reshaped European online retail. The Commission estimates 4.6 billion low-value parcels entered the EU in 2025, roughly 91% of them from China.</w:t>
      </w:r>
    </w:p>
    <w:p>
      <w:pPr>
        <w:pStyle w:val="BodyText"/>
      </w:pPr>
      <w:r>
        <w:t xml:space="preserve">The charge applies per item type, not per parcel: a shipment combining a phone, a charger and earphones draws three separate €3 charges. On the cheapest goods, effective price increases of 15-40% are expected, fundamentally altering the economics of sub-€10 shipping. The Commission frames the rule around revenue, fair competition and safety — EU retailers had been paying VAT while competing against duty-free imports, many of which failed EU safety standards — and projects roughly €13.8 billion in annual revenue for member states. A further €2 handling fee per consignment is due in November 2026.</w:t>
      </w:r>
    </w:p>
    <w:p>
      <w:pPr>
        <w:pStyle w:val="BodyText"/>
      </w:pPr>
      <w:r>
        <w:t xml:space="preserve">The timing is no accident. The duty took effect the same day Sefcovic hosted Wang Wentao, and it slots into the broader overcapacity framework Brussels is assembling for the autumn. Shein and Temu have already moved early, shifting toward bulk commercial shipments and EU-based distribution — though the rule applies to all goods made outside the EU regardless of where they are dispatched.</w:t>
      </w:r>
    </w:p>
    <w:p>
      <w:pPr>
        <w:pStyle w:val="BodyText"/>
      </w:pPr>
      <w:r>
        <w:rPr>
          <w:b/>
          <w:bCs/>
        </w:rPr>
        <w:t xml:space="preserve">References</w:t>
      </w:r>
    </w:p>
    <w:p>
      <w:pPr>
        <w:pStyle w:val="BodyText"/>
      </w:pPr>
      <w:r>
        <w:t xml:space="preserve">[12] European Commission. (2026, June 29). Ensuring fairness and safety: EU3 customs duty on low-value parcels. European Commission. https://commission.europa.eu/news-and-media/news/ensuring-fairness-and-safety-eu3-customs-duty-low-value-parcels_en</w:t>
      </w:r>
      <w:r>
        <w:t xml:space="preserve"> </w:t>
      </w:r>
      <w:r>
        <w:t xml:space="preserve">[13] Council of the European Union. (2025, December 12). Customs: Council agrees to levy customs duty on small parcels as of 1 July 2026. Council of the European Union. https://www.consilium.europa.eu/en/press/press-releases/2025/12/12/customs-council-agrees-to-levy-customs-duty-on-small-parcels-as-of-1-july-2026/</w:t>
      </w:r>
    </w:p>
    <w:p>
      <w:r>
        <w:pict>
          <v:rect style="width:0;height:1.5pt" o:hralign="center" o:hrstd="t" o:hr="t"/>
        </w:pict>
      </w:r>
    </w:p>
    <w:bookmarkEnd w:id="15"/>
    <w:bookmarkEnd w:id="16"/>
    <w:bookmarkStart w:id="20" w:name="technology-industry"/>
    <w:p>
      <w:pPr>
        <w:pStyle w:val="Heading2"/>
      </w:pPr>
      <w:r>
        <w:t xml:space="preserve">3. Technology &amp; Industry</w:t>
      </w:r>
    </w:p>
    <w:bookmarkStart w:id="17" w:name="Xb11fa8132d08d29377710e111e628917e06320a"/>
    <w:p>
      <w:pPr>
        <w:pStyle w:val="Heading3"/>
      </w:pPr>
      <w:r>
        <w:t xml:space="preserve">BIS warns the AI investment boom is now a financial-stability risk</w:t>
      </w:r>
    </w:p>
    <w:p>
      <w:pPr>
        <w:pStyle w:val="FirstParagraph"/>
      </w:pPr>
      <w:r>
        <w:t xml:space="preserve">The Bank for International Settlements used its 2026 Annual Economic Report to warn that the AI investment boom has built up financial vulnerabilities capable of amplifying any future shock and spreading instability from markets into the wider economy. The five largest technology hyperscalers are on track to commit more than $1 trillion (€878 billion) to AI infrastructure across 2025 and 2026 combined — spending that exceeds their current earnings and free cash flow, forcing some to issue debt to fund it.</w:t>
      </w:r>
    </w:p>
    <w:p>
      <w:pPr>
        <w:pStyle w:val="BodyText"/>
      </w:pPr>
      <w:r>
        <w:t xml:space="preserve">The BIS set the present boom alongside history’s investment manias: the 1830s canal boom, the 1840s railway mania, the 1920s electrification wave and the early-2000s dotcom bubble, each of which ended in an investment reversal and economy-wide recession. The report flagged hidden fragilities — technology firms extending equipment depreciation schedules in ways that mask cash burn, specialised AI chips that may become obsolete faster than those schedules assume, and circular financing in which hyperscalers take equity stakes in AI labs that then commit to buying their chips. One Columbia University economist put total AI infrastructure spending at $8 trillion (€7 trillion) over six years. Much of the financing flows through hedge funds and private credit, which carry lighter oversight than banks. Goldman Sachs projections cited in the report show data centres accounting for nearly half of US electricity-demand growth by 2030.</w:t>
      </w:r>
    </w:p>
    <w:p>
      <w:pPr>
        <w:pStyle w:val="BodyText"/>
      </w:pPr>
      <w:r>
        <w:t xml:space="preserve">General Manager Pablo Hernández de Cos called the message one of urgency, warning that delay will only make the necessary adjustments more costly. Acting Head of the BIS Monetary and Economic Department Frank Smets pointed to a new fiscal-financial linkage:</w:t>
      </w:r>
      <w:r>
        <w:t xml:space="preserve"> </w:t>
      </w:r>
      <w:r>
        <w:t xml:space="preserve">“The new fiscal-financial stability nexus may mean more frequent and sharper drops in sovereign bond values.”</w:t>
      </w:r>
    </w:p>
    <w:p>
      <w:pPr>
        <w:pStyle w:val="BodyText"/>
      </w:pPr>
      <w:r>
        <w:rPr>
          <w:b/>
          <w:bCs/>
        </w:rPr>
        <w:t xml:space="preserve">References</w:t>
      </w:r>
    </w:p>
    <w:p>
      <w:pPr>
        <w:pStyle w:val="BodyText"/>
      </w:pPr>
      <w:r>
        <w:t xml:space="preserve">[14] Mealha, Q. (2026, June 29). The AI boom propping up markets could trigger the next crash, central banks warn. Euronews. https://www.euronews.com/business/2026/06/29/the-ai-boom-propping-up-markets-could-trigger-the-next-crash-central-banks-warn</w:t>
      </w:r>
      <w:r>
        <w:t xml:space="preserve"> </w:t>
      </w:r>
      <w:r>
        <w:t xml:space="preserve">[15] Reuters. (2026, June 29). AI boom poses financial stability risk, BIS warns. Insurance Journal. https://www.insurancejournal.com/news/international/2026/06/29/875596.htm</w:t>
      </w:r>
      <w:r>
        <w:t xml:space="preserve"> </w:t>
      </w:r>
      <w:r>
        <w:t xml:space="preserve">[16] Bank for International Settlements. (2026, June 29). Annual Economic Report 2026. Bank for International Settlements. https://www.bis.org/publ/arpdf/ar2026e.htm</w:t>
      </w:r>
    </w:p>
    <w:p>
      <w:r>
        <w:pict>
          <v:rect style="width:0;height:1.5pt" o:hralign="center" o:hrstd="t" o:hr="t"/>
        </w:pict>
      </w:r>
    </w:p>
    <w:bookmarkEnd w:id="17"/>
    <w:bookmarkStart w:id="18" w:name="Xf2d4898077d82b1ca500484b314a7e2907b5af9"/>
    <w:p>
      <w:pPr>
        <w:pStyle w:val="Heading3"/>
      </w:pPr>
      <w:r>
        <w:t xml:space="preserve">Germany bets on AI to plug a worker shortage, with a €300bn productivity prize claimed</w:t>
      </w:r>
    </w:p>
    <w:p>
      <w:pPr>
        <w:pStyle w:val="FirstParagraph"/>
      </w:pPr>
      <w:r>
        <w:t xml:space="preserve">Germany is accelerating AI adoption as its primary answer to a structural labour shortage that the Institute for Employment Research estimates requires importing roughly 300,000 skilled workers a year just to hold staffing steady. The Federal Employment Agency lists shortages across more than 160 occupations, concentrated in nursing, healthcare, construction and the skilled trades. The pressure is demographic: the baby-boomer generation is retiring, with the Federal Employment Agency expecting around 4.7 million Germans to leave employment through retirement between 2024 and 2028.</w:t>
      </w:r>
    </w:p>
    <w:p>
      <w:pPr>
        <w:pStyle w:val="BodyText"/>
      </w:pPr>
      <w:r>
        <w:t xml:space="preserve">Adoption is moving fast. More than half of German firms now use generative AI or expect to by the end of 2026, up sharply from 26% in 2024. At a made-to-order homebuilder in northwest Germany, processing more than 250 invoices a week once took the equivalent of four working days; after introducing AI last year, the same task takes two — exactly half the time.</w:t>
      </w:r>
    </w:p>
    <w:p>
      <w:pPr>
        <w:pStyle w:val="BodyText"/>
      </w:pPr>
      <w:r>
        <w:t xml:space="preserve">The headline number is bolder than the evidence. Bloomberg reports that gains multiplied across an economy of Germany’s scale could run to roughly €300 billion, though that figure is a projection, not a measured result, and sits among competing estimates — a separate calculation by Personio puts productivity losses from worker disengagement, partly addressable by automation, at up to €142.3 billion. Germany is framing the technology differently from the United States. As The Next Web’s editor-in-chief Ana-Maria Stanciuc put it,</w:t>
      </w:r>
      <w:r>
        <w:t xml:space="preserve"> </w:t>
      </w:r>
      <w:r>
        <w:t xml:space="preserve">“The country does not have enough workers, and AI is being pitched as a way to need fewer of them.”</w:t>
      </w:r>
      <w:r>
        <w:t xml:space="preserve"> </w:t>
      </w:r>
      <w:r>
        <w:t xml:space="preserve">Whether firm-level gains aggregate into a €300 billion national fix is the bet Germany is now placing.</w:t>
      </w:r>
    </w:p>
    <w:p>
      <w:pPr>
        <w:pStyle w:val="BodyText"/>
      </w:pPr>
      <w:r>
        <w:rPr>
          <w:b/>
          <w:bCs/>
        </w:rPr>
        <w:t xml:space="preserve">References</w:t>
      </w:r>
    </w:p>
    <w:p>
      <w:pPr>
        <w:pStyle w:val="BodyText"/>
      </w:pPr>
      <w:r>
        <w:t xml:space="preserve">[17] Stanciuc, A.-M. (2026, June 29). Germany’s AI rollout is being sold as a fix for its worker shortage. The Next Web. https://thenextweb.com/news/germanys-ai-rollout-is-being-sold-as-a-fix-for-its-worker-shortage</w:t>
      </w:r>
      <w:r>
        <w:t xml:space="preserve"> </w:t>
      </w:r>
      <w:r>
        <w:t xml:space="preserve">[18] Bloomberg. (2026, June 29). German AI rollout offers $300 billion fix for worker shortage. Bloomberg. https://www.bloomberg.com/news/articles/2026-06-29/german-ai-rollout-offers-300-billion-fix-for-worker-shortage</w:t>
      </w:r>
      <w:r>
        <w:t xml:space="preserve"> </w:t>
      </w:r>
      <w:r>
        <w:t xml:space="preserve">[19] Bloomberg. (2026, June 29). Germany turns to AI to fill the gap left by retiring workers. Bloomberg. https://www.bloomberg.com/news/newsletters/2026-06-29/germany-turns-to-ai-to-fill-the-gap-left-by-retiring-workers</w:t>
      </w:r>
    </w:p>
    <w:p>
      <w:r>
        <w:pict>
          <v:rect style="width:0;height:1.5pt" o:hralign="center" o:hrstd="t" o:hr="t"/>
        </w:pict>
      </w:r>
    </w:p>
    <w:bookmarkEnd w:id="18"/>
    <w:bookmarkStart w:id="19" w:name="Xf2df05cf12db0f6f952cad37d23e8aaf4e20d06"/>
    <w:p>
      <w:pPr>
        <w:pStyle w:val="Heading3"/>
      </w:pPr>
      <w:r>
        <w:t xml:space="preserve">Spain emerges as Europe’s most dynamic tech hub as startups raise €4bn</w:t>
      </w:r>
    </w:p>
    <w:p>
      <w:pPr>
        <w:pStyle w:val="FirstParagraph"/>
      </w:pPr>
      <w:r>
        <w:t xml:space="preserve">Spanish startups raised €4 billion in 2025, up from €3 billion in 2024 — a 33% year-on-year jump, according to Sifted data — as the country’s tech ecosystem underwent a structural shift. Spain’s GDP grew 2.8%, double the eurozone average, providing the macro tailwind. The total value of Spanish startups has reached €125 billion, up 2.3 times since 2020, consolidating Spain as Europe’s eighth-largest tech ecosystem; the country ranks fourth globally for greenfield R&amp;D investment projects since 2020, and Barcelona ranks second in Europe for international startup founders.</w:t>
      </w:r>
    </w:p>
    <w:p>
      <w:pPr>
        <w:pStyle w:val="BodyText"/>
      </w:pPr>
      <w:r>
        <w:t xml:space="preserve">The deal flow is led by deep tech and AI. Multiverse Computing, a quantum-computing firm in the Basque Country, raised €157 million earlier in June 2026, while Barcelona-based AI sales platform Enginy ranked third on Sifted’s leaderboard of the fastest-growing startups in Southern Europe. Software, travel and touristech, business and productivity, healthtech and fintech drew the most investment in 2025.</w:t>
      </w:r>
    </w:p>
    <w:p>
      <w:pPr>
        <w:pStyle w:val="BodyText"/>
      </w:pPr>
      <w:r>
        <w:t xml:space="preserve">Investors credit stability as the draw. Micaela Arias, Executive Director of ICEX-Invest in Spain, said that in an uncertain world Spain offers both political and regulatory stability. But the surge carries a warning about the wider continent. Fernando Chueca, Partner at The Carlyle Group, framed the stakes bluntly:</w:t>
      </w:r>
      <w:r>
        <w:t xml:space="preserve"> </w:t>
      </w:r>
      <w:r>
        <w:t xml:space="preserve">“Either we embrace AI seriously, or Europe — not just Spain — is going to be left behind.”</w:t>
      </w:r>
    </w:p>
    <w:p>
      <w:pPr>
        <w:pStyle w:val="BodyText"/>
      </w:pPr>
      <w:r>
        <w:rPr>
          <w:b/>
          <w:bCs/>
        </w:rPr>
        <w:t xml:space="preserve">References</w:t>
      </w:r>
    </w:p>
    <w:p>
      <w:pPr>
        <w:pStyle w:val="BodyText"/>
      </w:pPr>
      <w:r>
        <w:t xml:space="preserve">[20] Bryant, L. (2026, June 29). Spain emerges as one of Europe’s most dynamic tech ecosystems. Sifted. https://sifted.eu/articles/spain-dynamic-tech-ecosystems-brnd</w:t>
      </w:r>
      <w:r>
        <w:t xml:space="preserve"> </w:t>
      </w:r>
      <w:r>
        <w:t xml:space="preserve">[21] GoHub Ventures. (2026, June 29). Spain’s tech ecosystem reaches €125B in valuation. GoHub Ventures. https://gohub.vc/spain-tech-ecosystem-125-billion-valuation/</w:t>
      </w:r>
    </w:p>
    <w:p>
      <w:r>
        <w:pict>
          <v:rect style="width:0;height:1.5pt" o:hralign="center" o:hrstd="t" o:hr="t"/>
        </w:pict>
      </w:r>
    </w:p>
    <w:bookmarkEnd w:id="19"/>
    <w:bookmarkEnd w:id="20"/>
    <w:bookmarkStart w:id="24" w:name="society-livelihood"/>
    <w:p>
      <w:pPr>
        <w:pStyle w:val="Heading2"/>
      </w:pPr>
      <w:r>
        <w:t xml:space="preserve">4. Society &amp; Livelihood</w:t>
      </w:r>
    </w:p>
    <w:bookmarkStart w:id="21" w:name="Xa4dbc0ab2426bbaafbfd14fbbf441d4bf85fda2"/>
    <w:p>
      <w:pPr>
        <w:pStyle w:val="Heading3"/>
      </w:pPr>
      <w:r>
        <w:t xml:space="preserve">Five killed in shooting at youth welfare facility in Stade, Germany; two arrested</w:t>
      </w:r>
    </w:p>
    <w:p>
      <w:pPr>
        <w:pStyle w:val="FirstParagraph"/>
      </w:pPr>
      <w:r>
        <w:t xml:space="preserve">Five people were killed and several others injured in a shooting at a youth welfare facility in the northern German town of Stade on Monday, prompting a major police response. Two people were arrested, one of them the suspected gunman, police said. The attack took place at around 1:45 p.m. local time at a facility on Dankersstrasse, south of the town centre — a site that includes temporary accommodation for pregnant women and young mothers with children.</w:t>
      </w:r>
    </w:p>
    <w:p>
      <w:pPr>
        <w:pStyle w:val="BodyText"/>
      </w:pPr>
      <w:r>
        <w:t xml:space="preserve">Authorities released no details on the victims or a motive, said there was no ongoing threat to the public, and indicated no immediate terrorism link. Stade, a town of about 50,000 some 25 miles west of Hamburg, is not known for violent crime on this scale, and a mass shooting of this size is exceptionally rare in Germany, which maintains some of the strictest firearms laws in Europe.</w:t>
      </w:r>
    </w:p>
    <w:p>
      <w:pPr>
        <w:pStyle w:val="BodyText"/>
      </w:pPr>
      <w:r>
        <w:t xml:space="preserve">The political backdrop is charged. Chancellor Friedrich Merz’s CDU/CSU coalition made internal security a signature priority after the Aschaffenburg and Solingen attacks of 2024-2025, and the government’s handling of this case — along with the emerging profile of the suspect — will shape the aftermath. Officers remained at the scene as investigators worked to establish the roles of the two people taken into custody.</w:t>
      </w:r>
    </w:p>
    <w:p>
      <w:pPr>
        <w:pStyle w:val="BodyText"/>
      </w:pPr>
      <w:r>
        <w:rPr>
          <w:b/>
          <w:bCs/>
        </w:rPr>
        <w:t xml:space="preserve">References</w:t>
      </w:r>
    </w:p>
    <w:p>
      <w:pPr>
        <w:pStyle w:val="BodyText"/>
      </w:pPr>
      <w:r>
        <w:t xml:space="preserve">[22] Newsweek. (2026, June 29). Stade shooting Germany death toll: Five killed, two arrested. Newsweek. https://www.newsweek.com/stade-shooting-germany-death-toll-12134858</w:t>
      </w:r>
      <w:r>
        <w:t xml:space="preserve"> </w:t>
      </w:r>
      <w:r>
        <w:t xml:space="preserve">[23] France 24. (2026, June 29). Several people killed in shooting in northern Germany, police say. France 24. https://www.france24.com/en/europe/20260629-several-people-killed-shooting-in-northern-germany-police-say</w:t>
      </w:r>
      <w:r>
        <w:t xml:space="preserve"> </w:t>
      </w:r>
      <w:r>
        <w:t xml:space="preserve">[24] CNN. (2026, June 29). Five killed in shooting at German youth facility, police say. CNN. https://www.cnn.com/2026/06/29/europe/stade-germany-shooting-intl</w:t>
      </w:r>
      <w:r>
        <w:t xml:space="preserve"> </w:t>
      </w:r>
      <w:r>
        <w:t xml:space="preserve">[25] The Washington Post. (2026, June 29). Five killed in shooting in Stade, Germany. The Washington Post. https://www.washingtonpost.com/world/2026/06/29/germany-shooting-stade/</w:t>
      </w:r>
      <w:r>
        <w:t xml:space="preserve"> </w:t>
      </w:r>
      <w:r>
        <w:t xml:space="preserve">[26] NBC News. (2026, June 29). Shooting in Stade, northern Germany, kills 5, police say. NBC News. https://www.nbcnews.com/world/germany/shooting-stade-northern-germany-police-rcna352199</w:t>
      </w:r>
      <w:r>
        <w:t xml:space="preserve"> </w:t>
      </w:r>
      <w:r>
        <w:t xml:space="preserve">[27] CBS News. (2026, June 29). Shooting at Germany youth center leaves 5 dead, with 2 people taken into custody. CBS News. https://www.cbsnews.com/news/germany-shooting-stade-youth-center/</w:t>
      </w:r>
    </w:p>
    <w:p>
      <w:r>
        <w:pict>
          <v:rect style="width:0;height:1.5pt" o:hralign="center" o:hrstd="t" o:hr="t"/>
        </w:pict>
      </w:r>
    </w:p>
    <w:bookmarkEnd w:id="21"/>
    <w:bookmarkStart w:id="22" w:name="Xd028dc3452a436a6d6a6cc480f5e69cef40069f"/>
    <w:p>
      <w:pPr>
        <w:pStyle w:val="Heading3"/>
      </w:pPr>
      <w:r>
        <w:t xml:space="preserve">Heatwave pushes six European countries into water emergency</w:t>
      </w:r>
    </w:p>
    <w:p>
      <w:pPr>
        <w:pStyle w:val="FirstParagraph"/>
      </w:pPr>
      <w:r>
        <w:t xml:space="preserve">Cyprus has used up 72% of its freshwater resources, peaking at 92% in summer — far past the 20% threshold at which a country enters the water-stress warning zone, according to Eurostat and European Environment Agency data cited by Euronews. The island is, in effect, in permanent emergency. Malta follows at 33% annually and 67% seasonally, while Greece (37%), Romania (34%), Portugal (31%), Italy (27%) and Spain (26.5%) all cross into warning territory during summer.</w:t>
      </w:r>
    </w:p>
    <w:p>
      <w:pPr>
        <w:pStyle w:val="BodyText"/>
      </w:pPr>
      <w:r>
        <w:t xml:space="preserve">The exploitation rates expose a structural vulnerability that the 2026 heatwave is accelerating. Some nations with lower rates — Bulgaria, Hungary, Croatia, Ireland — still struggle with access, pointing to infrastructure and distribution failures rather than pure scarcity. The EEA’s report</w:t>
      </w:r>
      <w:r>
        <w:t xml:space="preserve"> </w:t>
      </w:r>
      <w:r>
        <w:t xml:space="preserve">“Overheated and Underprepared”</w:t>
      </w:r>
      <w:r>
        <w:t xml:space="preserve"> </w:t>
      </w:r>
      <w:r>
        <w:t xml:space="preserve">found that around one in 10 EU citizens cannot reliably access enough safe, clean water, with the problem most acute in Cyprus (36.5%) and Greece (31.5%). The agency expects climate change and drought to intensify shortages at least until 2030.</w:t>
      </w:r>
    </w:p>
    <w:p>
      <w:pPr>
        <w:pStyle w:val="BodyText"/>
      </w:pPr>
      <w:r>
        <w:t xml:space="preserve">The human toll is already counted. More than 1,300 excess deaths have been recorded across Europe since 21 June, according to the WHO, in what scientists call the most severe heatwave ever recorded on the continent — one the World Weather Attribution group says would have been virtually impossible this early in the summer without man-made climate change.</w:t>
      </w:r>
    </w:p>
    <w:p>
      <w:pPr>
        <w:pStyle w:val="BodyText"/>
      </w:pPr>
      <w:r>
        <w:rPr>
          <w:b/>
          <w:bCs/>
        </w:rPr>
        <w:t xml:space="preserve">References</w:t>
      </w:r>
    </w:p>
    <w:p>
      <w:pPr>
        <w:pStyle w:val="BodyText"/>
      </w:pPr>
      <w:r>
        <w:t xml:space="preserve">[28] Euronews. (2026, June 29). Heatwave: Which European countries are running out of water? Euronews. https://www.euronews.com/my-europe/2026/06/29/heatwave-which-european-countries-are-running-out-of-water</w:t>
      </w:r>
      <w:r>
        <w:t xml:space="preserve"> </w:t>
      </w:r>
      <w:r>
        <w:t xml:space="preserve">[29] World Meteorological Organization. (2026, June 29). Records fall as extreme heat grips Europe. World Meteorological Organization. https://wmo.int/media/news/records-fall-extreme-heat-grips-europe</w:t>
      </w:r>
    </w:p>
    <w:p>
      <w:r>
        <w:pict>
          <v:rect style="width:0;height:1.5pt" o:hralign="center" o:hrstd="t" o:hr="t"/>
        </w:pict>
      </w:r>
    </w:p>
    <w:bookmarkEnd w:id="22"/>
    <w:bookmarkStart w:id="23" w:name="X63f831b2625662130ee5ef983e093acdc96f691"/>
    <w:p>
      <w:pPr>
        <w:pStyle w:val="Heading3"/>
      </w:pPr>
      <w:r>
        <w:t xml:space="preserve">Ukraine’s war-damaged power grid braces for heat as extreme temperatures move east</w:t>
      </w:r>
    </w:p>
    <w:p>
      <w:pPr>
        <w:pStyle w:val="FirstParagraph"/>
      </w:pPr>
      <w:r>
        <w:t xml:space="preserve">Grid operators in at least five Ukrainian regions — from Ivano-Frankivsk in the west to front-line Zaporizhzhia in the south — announced temporary electricity restrictions for parts of Tuesday as an eastward-moving heatwave bore down on a power system already running at critical capacity. Russian attacks since February 2022 have inflicted tens of billions of euros in damage on Ukraine’s energy infrastructure, leaving equipment to cope with record heat after years of wartime strain.</w:t>
      </w:r>
    </w:p>
    <w:p>
      <w:pPr>
        <w:pStyle w:val="BodyText"/>
      </w:pPr>
      <w:r>
        <w:t xml:space="preserve">“The heat is also a serious test for equipment that has been operating under wartime conditions for more than four years,”</w:t>
      </w:r>
      <w:r>
        <w:t xml:space="preserve"> </w:t>
      </w:r>
      <w:r>
        <w:t xml:space="preserve">said Sergii Kovalenko, CEO of energy company Yasno. Temperatures of 35-38°C are forecast across Ukraine in the coming days, layering heat-related health risks onto a population already enduring routine power cuts.</w:t>
      </w:r>
    </w:p>
    <w:p>
      <w:pPr>
        <w:pStyle w:val="BodyText"/>
      </w:pPr>
      <w:r>
        <w:t xml:space="preserve">The crisis is continental. The heatwave first hit western Europe last week, and at least 130 million Europeans faced temperatures above 35°C on Monday; more than 1,300 excess deaths have been recorded since 21 June, according to the UN health agency, in a heatwave the World Weather Attribution group describes as the most severe ever recorded in Europe. Ukraine’s grid is synchronised with the European ENTSO-E area, meaning instability in Kyiv’s network can ripple through power flows in Poland, Slovakia, Hungary and Romania.</w:t>
      </w:r>
    </w:p>
    <w:p>
      <w:pPr>
        <w:pStyle w:val="BodyText"/>
      </w:pPr>
      <w:r>
        <w:rPr>
          <w:b/>
          <w:bCs/>
        </w:rPr>
        <w:t xml:space="preserve">References</w:t>
      </w:r>
    </w:p>
    <w:p>
      <w:pPr>
        <w:pStyle w:val="BodyText"/>
      </w:pPr>
      <w:r>
        <w:t xml:space="preserve">[30] Euronews. (2026, June 29). Ukraine’s battered energy grid braces for intense heat as extreme temperatures head east. Euronews. https://www.euronews.com/my-europe/2026/06/29/ukraines-battered-energy-grid-braces-for-intense-heat-as-extreme-temperatures-head-east</w:t>
      </w:r>
    </w:p>
    <w:p>
      <w:r>
        <w:pict>
          <v:rect style="width:0;height:1.5pt" o:hralign="center" o:hrstd="t" o:hr="t"/>
        </w:pict>
      </w:r>
    </w:p>
    <w:bookmarkEnd w:id="23"/>
    <w:bookmarkEnd w:id="24"/>
    <w:bookmarkStart w:id="26" w:name="corporate-ipo-ma"/>
    <w:p>
      <w:pPr>
        <w:pStyle w:val="Heading2"/>
      </w:pPr>
      <w:r>
        <w:t xml:space="preserve">5. Corporate IPO &amp; M&amp;A</w:t>
      </w:r>
    </w:p>
    <w:bookmarkStart w:id="25" w:name="Xd9c56ca2774bfd63c09000b0a9c121b83a54c9d"/>
    <w:p>
      <w:pPr>
        <w:pStyle w:val="Heading3"/>
      </w:pPr>
      <w:r>
        <w:t xml:space="preserve">NNS files draft offer with Dutch regulator for all-cash takeover of OCI at €4.10 a share</w:t>
      </w:r>
    </w:p>
    <w:p>
      <w:pPr>
        <w:pStyle w:val="FirstParagraph"/>
      </w:pPr>
      <w:r>
        <w:t xml:space="preserve">NNS Holding (Cyprus) Limited, the largest shareholder in OCI Global N.V. (Euronext Amsterdam: OCI), said on 29 June 2026 it had submitted a draft Offer Memorandum to the Dutch Authority for the Financial Markets (Autoriteit Financiële Markten / AFM) for a voluntary all-cash offer of EUR 4.10 per share for all issued and outstanding OCI shares. With about 211 million shares in issue, the bid implies a total value of roughly €866 million (about USD 950 million), a premium of approximately 9% to OCI’s pre-announcement closing price.</w:t>
      </w:r>
    </w:p>
    <w:p>
      <w:pPr>
        <w:pStyle w:val="BodyText"/>
      </w:pPr>
      <w:r>
        <w:t xml:space="preserve">NNS is part of the private group founded by Egyptian billionaire Nassef Sawiris, OCI’s largest individual shareholder. The bid carries no minimum acceptance threshold, and members of the Sawiris family holding 19,167,618 shares — about 9.07% of the share capital — have given irrevocable undertakings not to tender. The offer is conditional on competition clearances and the absence of any governmental order or trading suspension blocking completion, and follows an initial NNS cash-offer proposal on 11 May 2026. NNS confirmed it has enough cash to fund the deal and fees without external financing.</w:t>
      </w:r>
    </w:p>
    <w:p>
      <w:pPr>
        <w:pStyle w:val="BodyText"/>
      </w:pPr>
      <w:r>
        <w:t xml:space="preserve">The bid is the latest move in a corporate stalemate. The takeover is designed to break a deadlock over OCI’s proposed merger with Orascom Construction, a tie-up board-approved in December 2025 but frozen in January after a Dutch court sided with minority shareholders citing conflicts of interest and installed independent directors with veto power. OCI’s board — with Nassef and Nadia Sawiris recused — has signalled it would support the offer only if combined with the Orascom transaction, so that minority holders keep the option to participate in the planned infrastructure platform rather than be cashed out. OCI Global, headquartered in the Netherlands, makes nitrogen fertilisers and methanol across the US, Europe and the Middle East.</w:t>
      </w:r>
    </w:p>
    <w:p>
      <w:pPr>
        <w:pStyle w:val="BodyText"/>
      </w:pPr>
      <w:r>
        <w:rPr>
          <w:b/>
          <w:bCs/>
        </w:rPr>
        <w:t xml:space="preserve">References</w:t>
      </w:r>
    </w:p>
    <w:p>
      <w:pPr>
        <w:pStyle w:val="BodyText"/>
      </w:pPr>
      <w:r>
        <w:t xml:space="preserve">[31] NNS Holding (Cyprus) Limited. (2026, June 29). Update on voluntary public offer by NNS for OCI. PR Newswire. https://www.prnewswire.com/news-releases/update-on-voluntary-public-offer-by-nns-for-oci-302812716.html</w:t>
      </w:r>
      <w:r>
        <w:t xml:space="preserve"> </w:t>
      </w:r>
      <w:r>
        <w:t xml:space="preserve">[32] Ad-hoc-news.de. (2026, June 29). OCI: Voluntary offer at EUR 4.10 per share in Euronext Amsterdam focus. Ad-hoc-news.de. https://www.ad-hoc-news.de/boerse/news/ueberblick/oci-voluntary-offer-at-eur-4-10-shares-in-euronext-amsterdam-focus/69652134</w:t>
      </w:r>
      <w:r>
        <w:t xml:space="preserve"> </w:t>
      </w:r>
      <w:r>
        <w:t xml:space="preserve">[33] Finanzwire. (2026, June 29). NNS Holding (Cyprus) Limited: Update on voluntary public offer by NNS for OCI. Finanzwire. https://www.finanzwire.com/press-release/nns-holding-cyprus-limited-etr-update-on-voluntary-public-offer-by-nns-for-oci-44qfDAEvz0p</w:t>
      </w:r>
      <w:r>
        <w:t xml:space="preserve"> </w:t>
      </w:r>
      <w:r>
        <w:t xml:space="preserve">[34] OCI Global. (2026, June 26). OCI N.V. confirms receipt of unsolicited voluntary cash offer from NNS of EUR 4.10 per share. OCI Global. https://oci-global.com/news-stories/press-releases/oci-n-v-confirms-receipt-of-unsolicited-voluntary-cash-offer-from-nns-of-eur-4-10per-share/</w:t>
      </w:r>
    </w:p>
    <w:p>
      <w:r>
        <w:pict>
          <v:rect style="width:0;height:1.5pt" o:hralign="center" o:hrstd="t" o:hr="t"/>
        </w:pict>
      </w:r>
    </w:p>
    <w:p>
      <w:pPr>
        <w:pStyle w:val="FirstParagraph"/>
      </w:pPr>
      <w:r>
        <w:rPr>
          <w:i/>
          <w:iCs/>
        </w:rPr>
        <w:t xml:space="preserve">Note: only 1 story met T1-T4 standards for this category today.</w:t>
      </w:r>
    </w:p>
    <w:p>
      <w:r>
        <w:pict>
          <v:rect style="width:0;height:1.5pt" o:hralign="center" o:hrstd="t" o:hr="t"/>
        </w:pict>
      </w:r>
    </w:p>
    <w:bookmarkEnd w:id="25"/>
    <w:bookmarkEnd w:id="26"/>
    <w:bookmarkStart w:id="29" w:name="other-notable-events"/>
    <w:p>
      <w:pPr>
        <w:pStyle w:val="Heading2"/>
      </w:pPr>
      <w:r>
        <w:t xml:space="preserve">6. Other Notable Events</w:t>
      </w:r>
    </w:p>
    <w:bookmarkStart w:id="27" w:name="X0e39872a974cd68f54a0f3bebb9971d1fad19ee"/>
    <w:p>
      <w:pPr>
        <w:pStyle w:val="Heading3"/>
      </w:pPr>
      <w:r>
        <w:t xml:space="preserve">Belarus shuts Russia-installed drone relay stations after Zelenskyy ultimatum</w:t>
      </w:r>
    </w:p>
    <w:p>
      <w:pPr>
        <w:pStyle w:val="FirstParagraph"/>
      </w:pPr>
      <w:r>
        <w:t xml:space="preserve">Belarusian President Aleksander Lukashenko shut down four Moscow-installed relay stations that had been assisting Russian drone operations against Ukraine. The stations — originally cellular communication towers in Belarus’s Gomel and Brest regions — boosted signals for Russian drone operators, letting unmanned aircraft exchange data and fly deep into western Ukraine, where interceptors and air defences are thinner. The relayers did</w:t>
      </w:r>
      <w:r>
        <w:t xml:space="preserve"> </w:t>
      </w:r>
      <w:r>
        <w:t xml:space="preserve">“make the signal stronger”</w:t>
      </w:r>
      <w:r>
        <w:t xml:space="preserve"> </w:t>
      </w:r>
      <w:r>
        <w:t xml:space="preserve">and the attacks</w:t>
      </w:r>
      <w:r>
        <w:t xml:space="preserve"> </w:t>
      </w:r>
      <w:r>
        <w:t xml:space="preserve">“more precise,”</w:t>
      </w:r>
      <w:r>
        <w:t xml:space="preserve"> </w:t>
      </w:r>
      <w:r>
        <w:t xml:space="preserve">Andriy Pronin, one of the pioneers of Ukraine’s drone warfare, told Al Jazeera.</w:t>
      </w:r>
    </w:p>
    <w:p>
      <w:pPr>
        <w:pStyle w:val="BodyText"/>
      </w:pPr>
      <w:r>
        <w:t xml:space="preserve">The shutdown followed a public ultimatum. On 19 June, President Volodymyr Zelenskyy said Lukashenko had allowed Russia to run equipment that</w:t>
      </w:r>
      <w:r>
        <w:t xml:space="preserve"> </w:t>
      </w:r>
      <w:r>
        <w:t xml:space="preserve">“corrects fire on Ukrainian civilians, specifically civilians,”</w:t>
      </w:r>
      <w:r>
        <w:t xml:space="preserve"> </w:t>
      </w:r>
      <w:r>
        <w:t xml:space="preserve">and gave Minsk a deadline:</w:t>
      </w:r>
      <w:r>
        <w:t xml:space="preserve"> </w:t>
      </w:r>
      <w:r>
        <w:t xml:space="preserve">“I think one week will be enough.”</w:t>
      </w:r>
      <w:r>
        <w:t xml:space="preserve"> </w:t>
      </w:r>
      <w:r>
        <w:t xml:space="preserve">By 24 June, Zelenskyy said the equipment had stopped working on 22 June, though Kyiv was still verifying whether the stations were dismantled or merely switched off. Minsk has offered no official confirmation either way.</w:t>
      </w:r>
    </w:p>
    <w:p>
      <w:pPr>
        <w:pStyle w:val="BodyText"/>
      </w:pPr>
      <w:r>
        <w:t xml:space="preserve">Zelenskyy called the outcome a diplomatic triumph and an example of coercive diplomacy from a position of military strength — a reflection of Kyiv’s newfound assertiveness traced in part to its January leadership reshuffle. Analysts read Lukashenko’s move as an indirect compromise: a concession to Kyiv while preserving appearances with Moscow, and a possible opening for limited back-channel contact between the two capitals. Degraded Russian drone precision over western Ukraine also eases pressure on Polish and Romanian airspace, where stray drones and debris have caused incidents in recent months.</w:t>
      </w:r>
    </w:p>
    <w:p>
      <w:pPr>
        <w:pStyle w:val="BodyText"/>
      </w:pPr>
      <w:r>
        <w:rPr>
          <w:b/>
          <w:bCs/>
        </w:rPr>
        <w:t xml:space="preserve">References</w:t>
      </w:r>
    </w:p>
    <w:p>
      <w:pPr>
        <w:pStyle w:val="BodyText"/>
      </w:pPr>
      <w:r>
        <w:t xml:space="preserve">[35] Al Jazeera. (2026, June 29).</w:t>
      </w:r>
      <w:r>
        <w:t xml:space="preserve"> </w:t>
      </w:r>
      <w:r>
        <w:t xml:space="preserve">‘A concession to Zelenskyy’s ultimatum’</w:t>
      </w:r>
      <w:r>
        <w:t xml:space="preserve">: Ukraine’s triumph over Belarus. Al Jazeera. https://www.aljazeera.com/news/2026/6/29/drone-relayers-off-ukraines-diplomatic-triumph-over-belarus</w:t>
      </w:r>
    </w:p>
    <w:p>
      <w:r>
        <w:pict>
          <v:rect style="width:0;height:1.5pt" o:hralign="center" o:hrstd="t" o:hr="t"/>
        </w:pict>
      </w:r>
    </w:p>
    <w:bookmarkEnd w:id="27"/>
    <w:bookmarkStart w:id="28" w:name="X25cead3d009440609077596fcac32e96ad3e20c"/>
    <w:p>
      <w:pPr>
        <w:pStyle w:val="Heading3"/>
      </w:pPr>
      <w:r>
        <w:t xml:space="preserve">Putin admits Russia faces fuel deficit as Ukraine strikes Slavyansk and Yaroslavl refineries</w:t>
      </w:r>
    </w:p>
    <w:p>
      <w:pPr>
        <w:pStyle w:val="FirstParagraph"/>
      </w:pPr>
      <w:r>
        <w:t xml:space="preserve">Vladimir Putin acknowledged for the first time on Sunday that Russia faced a</w:t>
      </w:r>
      <w:r>
        <w:t xml:space="preserve"> </w:t>
      </w:r>
      <w:r>
        <w:t xml:space="preserve">“certain deficit”</w:t>
      </w:r>
      <w:r>
        <w:t xml:space="preserve"> </w:t>
      </w:r>
      <w:r>
        <w:t xml:space="preserve">of fuel, conceding at a meeting with officials that the country was</w:t>
      </w:r>
      <w:r>
        <w:t xml:space="preserve"> </w:t>
      </w:r>
      <w:r>
        <w:t xml:space="preserve">“going through a difficult period”</w:t>
      </w:r>
      <w:r>
        <w:t xml:space="preserve"> </w:t>
      </w:r>
      <w:r>
        <w:t xml:space="preserve">even as he insisted Moscow would</w:t>
      </w:r>
      <w:r>
        <w:t xml:space="preserve"> </w:t>
      </w:r>
      <w:r>
        <w:t xml:space="preserve">“honour all its social obligations.”</w:t>
      </w:r>
      <w:r>
        <w:t xml:space="preserve"> </w:t>
      </w:r>
      <w:r>
        <w:t xml:space="preserve">It was a rare public admission of domestic supply strain, and it came as Ukraine pressed its campaign against Russian energy infrastructure.</w:t>
      </w:r>
    </w:p>
    <w:p>
      <w:pPr>
        <w:pStyle w:val="BodyText"/>
      </w:pPr>
      <w:r>
        <w:t xml:space="preserve">Ukrainian forces struck the Slavyansk-na-Kubani oil refinery in Russia’s Krasnodar region overnight, igniting a fire that killed one person; the facility processes about 4 million tons of crude a year and supplies products for Black Sea port exports. A second refinery in the Yaroslavl region, roughly 700 kilometres from the Ukrainian border, was also hit. The strikes are part of a sustained drone offensive against Russia’s biggest refineries that has knocked out a significant share of national refining capacity and produced fuel rationing and queues across several regions.</w:t>
      </w:r>
    </w:p>
    <w:p>
      <w:pPr>
        <w:pStyle w:val="BodyText"/>
      </w:pPr>
      <w:r>
        <w:t xml:space="preserve">Putin said Russia would import more fuel, speed repairs at oil facilities and quickly ramp up production of air-defence systems to fend off the strikes, pledging in particular to address shortages in Crimea — but he dismissed Ukrainian proposals for mutual restrictions on deep strikes. For European-adjacent markets, Russian refined products still reach buyers through third-country intermediaries such as Turkey, the UAE and India, so disruptions ripple through global product markets even as Kyiv’s stated aim is to degrade Russian military logistics and aviation-fuel supply.</w:t>
      </w:r>
    </w:p>
    <w:p>
      <w:pPr>
        <w:pStyle w:val="BodyText"/>
      </w:pPr>
      <w:r>
        <w:rPr>
          <w:b/>
          <w:bCs/>
        </w:rPr>
        <w:t xml:space="preserve">References</w:t>
      </w:r>
    </w:p>
    <w:p>
      <w:pPr>
        <w:pStyle w:val="BodyText"/>
      </w:pPr>
      <w:r>
        <w:t xml:space="preserve">[36] Aktan, S. (2026, June 29). Putin admits oil deficit and adjusted fuel plans amid Ukrainian strikes on refineries. Euronews. https://www.euronews.com/my-europe/2026/06/29/putin-admits-oil-deficit-and-adjusted-fuel-plans-amid-ukrainian-strikes-on-refineries</w:t>
      </w:r>
      <w:r>
        <w:t xml:space="preserve"> </w:t>
      </w:r>
      <w:r>
        <w:t xml:space="preserve">[37] France 24. (2026, June 28). Ukraine drone assault ignites Russian oil refinery as Putin acknowledges</w:t>
      </w:r>
      <w:r>
        <w:t xml:space="preserve"> </w:t>
      </w:r>
      <w:r>
        <w:t xml:space="preserve">‘difficult period’</w:t>
      </w:r>
      <w:r>
        <w:t xml:space="preserve">. France 24. https://www.france24.com/en/europe/20260628-ukraine-drone-assault-ignites-russian-oil-refinery-as-putin-acknowledges-difficult-period</w:t>
      </w:r>
      <w:r>
        <w:t xml:space="preserve"> </w:t>
      </w:r>
      <w:r>
        <w:t xml:space="preserve">[38] PBS NewsHour. (2026, June 29). Ukraine’s drone set another Russian oil refinery ablaze as Putin admits fuel shortages. PBS NewsHour. https://www.pbs.org/newshour/world/ukraines-drone-set-another-russian-oil-refinery-ablaze-as-putin-admits-fuel-shortages</w:t>
      </w:r>
    </w:p>
    <w:p>
      <w:r>
        <w:pict>
          <v:rect style="width:0;height:1.5pt" o:hralign="center" o:hrstd="t" o:hr="t"/>
        </w:pict>
      </w:r>
    </w:p>
    <w:p>
      <w:pPr>
        <w:pStyle w:val="FirstParagraph"/>
      </w:pPr>
      <w:r>
        <w:rPr>
          <w:i/>
          <w:iCs/>
        </w:rPr>
        <w:t xml:space="preserve">Note: only 2 stories met T1-T4 standards for this category today.</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2026-06-29T13:48:36Z</dcterms:created>
  <dcterms:modified xsi:type="dcterms:W3CDTF">2026-06-29T13:48:36Z</dcterms:modified>
</cp:coreProperties>
</file>

<file path=docProps/custom.xml><?xml version="1.0" encoding="utf-8"?>
<Properties xmlns="http://schemas.openxmlformats.org/officeDocument/2006/custom-properties" xmlns:vt="http://schemas.openxmlformats.org/officeDocument/2006/docPropsVTypes"/>
</file>