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欧洲每日热点新闻-2026年6月4日"/>
    <w:p>
      <w:pPr>
        <w:pStyle w:val="Heading1"/>
      </w:pPr>
      <w:r>
        <w:rPr>
          <w:rFonts w:hint="eastAsia"/>
        </w:rPr>
        <w:t xml:space="preserve">欧洲每日热点新闻</w:t>
      </w:r>
      <w:r>
        <w:t xml:space="preserve"> — </w:t>
      </w:r>
      <w:r>
        <w:rPr>
          <w:rFonts w:hint="eastAsia"/>
        </w:rPr>
        <w:t xml:space="preserve">2026年6月4日</w:t>
      </w:r>
    </w:p>
    <w:bookmarkStart w:id="11" w:name="一经济与市场"/>
    <w:p>
      <w:pPr>
        <w:pStyle w:val="Heading2"/>
      </w:pPr>
      <w:r>
        <w:rPr>
          <w:rFonts w:hint="eastAsia"/>
        </w:rPr>
        <w:t xml:space="preserve">一、经济与市场</w:t>
      </w:r>
    </w:p>
    <w:bookmarkStart w:id="9" w:name="亚马逊承诺欧洲投资百亿欧元加码仓储机器人"/>
    <w:p>
      <w:pPr>
        <w:pStyle w:val="Heading3"/>
      </w:pPr>
      <w:r>
        <w:rPr>
          <w:rFonts w:hint="eastAsia"/>
        </w:rPr>
        <w:t xml:space="preserve">亚马逊承诺欧洲投资百亿欧元加码仓储机器人</w:t>
      </w:r>
    </w:p>
    <w:p>
      <w:pPr>
        <w:pStyle w:val="FirstParagraph"/>
      </w:pPr>
      <w:r>
        <w:rPr>
          <w:rFonts w:hint="eastAsia"/>
        </w:rPr>
        <w:t xml:space="preserve">亚马逊6月4日在伦敦东郊达特福德（Dartford）配送中心举行的“Delivering</w:t>
      </w:r>
      <w:r>
        <w:t xml:space="preserve"> the </w:t>
      </w:r>
      <w:r>
        <w:rPr>
          <w:rFonts w:hint="eastAsia"/>
        </w:rPr>
        <w:t xml:space="preserve">Future”活动上宣布，将对欧洲履约网络追加100亿欧元（约116亿美元）投资，并配套新增2.5万个全职岗位。公司同时推出升级版AI驱动的Proteus自主移动机器人，计划于2027年上半年起在欧洲站点上线，此前该机型已在美国25个站点的码头区域运行，可拉动重达400千克的货车。</w:t>
      </w:r>
    </w:p>
    <w:p>
      <w:pPr>
        <w:pStyle w:val="BodyText"/>
      </w:pPr>
      <w:r>
        <w:rPr>
          <w:rFonts w:hint="eastAsia"/>
        </w:rPr>
        <w:t xml:space="preserve">负责亚马逊机器人业务的副总裁斯科特·德雷瑟（Scott</w:t>
      </w:r>
      <w:r>
        <w:t xml:space="preserve"> </w:t>
      </w:r>
      <w:r>
        <w:rPr>
          <w:rFonts w:hint="eastAsia"/>
        </w:rPr>
        <w:t xml:space="preserve">Dresser）将新Proteus定位为仓储工人的“协作伙伴”。“你告诉它要做什么，它会自己判断优先级、路径和时机。它会成为你搬运物料的助手，”他在达特福德对记者表示。新一代Proteus首次摆脱码头区域的限制，可在仓储现场任意位置运行，并接受自然语言指令调度。除Proteus外，公司还公布了在巴塞罗那首批试点的STARK托盘搬运机器人——目标是在2027年前推广至15个欧洲站点——以及具备触觉识别能力的Vulcan拣选机器人。</w:t>
      </w:r>
    </w:p>
    <w:p>
      <w:pPr>
        <w:pStyle w:val="BodyText"/>
      </w:pPr>
      <w:r>
        <w:rPr>
          <w:rFonts w:hint="eastAsia"/>
        </w:rPr>
        <w:t xml:space="preserve">欧洲业务运营副总裁阿明·科斯曼（Armin</w:t>
      </w:r>
      <w:r>
        <w:t xml:space="preserve"> </w:t>
      </w:r>
      <w:r>
        <w:rPr>
          <w:rFonts w:hint="eastAsia"/>
        </w:rPr>
        <w:t xml:space="preserve">Cossmann）补充称，这套自动化改造“旨在为我们如何支持员工、如何服务客户带来一次阶跃式的提升”。亚马逊同时承诺，到2030年向员工培训项目投入10亿美元（约8.6亿欧元），作为其25亿美元全球技能再造计划的一部分。该公司2025年已在欧洲投入600亿欧元，并称目前在欧洲支撑约150万个岗位，其中23万为直接雇员、40万为延伸就业、约60万为小企业相关岗位。</w:t>
      </w:r>
    </w:p>
    <w:p>
      <w:pPr>
        <w:pStyle w:val="BodyText"/>
      </w:pPr>
      <w:r>
        <w:rPr>
          <w:b/>
          <w:bCs/>
        </w:rPr>
        <w:t xml:space="preserve">References</w:t>
      </w:r>
    </w:p>
    <w:p>
      <w:pPr>
        <w:pStyle w:val="BodyText"/>
      </w:pPr>
      <w:r>
        <w:t xml:space="preserve">[1] Euronews. (2026, June 4). Amazon pledges €10 billion for Europe with 25,000 new jobs and warehouse robots. Euronews. https://www.euronews.com/next/2026/06/04/amazon-pledges-10-billion-for-europe-with-25000-new-jobs-and-warehouse-robots</w:t>
      </w:r>
      <w:r>
        <w:t xml:space="preserve"> </w:t>
      </w:r>
      <w:r>
        <w:t xml:space="preserve">[2] Amazon. (2026, June 4). Amazon unveils next-gen Proteus robot as part of €10 billion European investment in its fulfillment network. About Amazon. https://www.aboutamazon.com/news/operations/amazon-proteus-robot-europe-investment-employee-support</w:t>
      </w:r>
      <w:r>
        <w:t xml:space="preserve"> </w:t>
      </w:r>
      <w:r>
        <w:t xml:space="preserve">[3] Reuters. (2026, June 4). Amazon unveils new AI warehouse robot in $12 billion Europe push. KFGO. https://kfgo.com/2026/06/04/amazon-unveils-new-ai-warehouse-robot-in-12-billion-europe-push/</w:t>
      </w:r>
    </w:p>
    <w:p>
      <w:r>
        <w:pict>
          <v:rect style="width:0;height:1.5pt" o:hralign="center" o:hrstd="t" o:hr="t"/>
        </w:pict>
      </w:r>
    </w:p>
    <w:bookmarkEnd w:id="9"/>
    <w:bookmarkStart w:id="10" w:name="欧股低开博通指引疲软拖累芯片股"/>
    <w:p>
      <w:pPr>
        <w:pStyle w:val="Heading3"/>
      </w:pPr>
      <w:r>
        <w:rPr>
          <w:rFonts w:hint="eastAsia"/>
        </w:rPr>
        <w:t xml:space="preserve">欧股低开博通指引疲软拖累芯片股</w:t>
      </w:r>
    </w:p>
    <w:p>
      <w:pPr>
        <w:pStyle w:val="FirstParagraph"/>
      </w:pPr>
      <w:r>
        <w:rPr>
          <w:rFonts w:hint="eastAsia"/>
        </w:rPr>
        <w:t xml:space="preserve">博通最新一季营收222亿美元、每股盈利2.44美元均略超华尔街共识——分别对应221亿美元与2.39美元的预期——但下季度AI芯片收入指引160亿美元低于市场预测的172亿美元，6月4日伦敦时段博通美股盘前重挫13%，并拖累欧洲芯片板块全线走低。荷兰光刻巨头ASML、意法半导体（STMicroelectronics）、英飞凌（Infineon）与ASM国际开盘后跌幅在2%至6%之间，诺基亚（Nokia）截至格林尼治时间09:23下跌9%。</w:t>
      </w:r>
    </w:p>
    <w:p>
      <w:pPr>
        <w:pStyle w:val="BodyText"/>
      </w:pPr>
      <w:r>
        <w:rPr>
          <w:rFonts w:hint="eastAsia"/>
        </w:rPr>
        <w:t xml:space="preserve">伯恩斯坦（Bernstein）分析师Stacy</w:t>
      </w:r>
      <w:r>
        <w:t xml:space="preserve"> </w:t>
      </w:r>
      <w:r>
        <w:rPr>
          <w:rFonts w:hint="eastAsia"/>
        </w:rPr>
        <w:t xml:space="preserve">Rasgon直指市场失望并非来自当季数据——博通本财季AI半导体业务同比飙升143%至108亿美元，连续13个季度增长——而是来自管理层维持而非上调2027财年1000亿美元AI收入目标的姿态。“AI收入本来就会起伏，”他写道，“但叠加公司选择‘重申’而非‘上调’2027财年1000亿美元AI指引，股价因此回调。”美国银行证券（BofA</w:t>
      </w:r>
      <w:r>
        <w:t xml:space="preserve"> </w:t>
      </w:r>
      <w:r>
        <w:rPr>
          <w:rFonts w:hint="eastAsia"/>
        </w:rPr>
        <w:t xml:space="preserve">Securities）的Vivek</w:t>
      </w:r>
      <w:r>
        <w:t xml:space="preserve"> </w:t>
      </w:r>
      <w:r>
        <w:rPr>
          <w:rFonts w:hint="eastAsia"/>
        </w:rPr>
        <w:t xml:space="preserve">Arya则把下季度AI芯片指引偏弱解读为“考虑到客户端持续的供给约束所作出的保守表述”。博通同时重申2026财年AI半导体收入约560亿美元的全年指引，对应同比增速约180%。</w:t>
      </w:r>
    </w:p>
    <w:p>
      <w:pPr>
        <w:pStyle w:val="BodyText"/>
      </w:pPr>
      <w:r>
        <w:rPr>
          <w:rFonts w:hint="eastAsia"/>
        </w:rPr>
        <w:t xml:space="preserve">板块外的情绪同样疲软。Inditex得益于第一季度净利润同比增长5.4%、5月1日至6月1日期间不变汇率销售额增长11.5%而逆势上涨4.6%，但UniCredit、BBVA与德意志银行（Deutsche</w:t>
      </w:r>
      <w:r>
        <w:t xml:space="preserve"> </w:t>
      </w:r>
      <w:r>
        <w:rPr>
          <w:rFonts w:hint="eastAsia"/>
        </w:rPr>
        <w:t xml:space="preserve">Bank）周三跌幅在2%至3.7%之间，奔驰（Mercedes-Benz）与宝马（BMW）分别下挫2.1%和2.4%。欧洲斯托克50指数周三报收6,043点，下跌1.04%。</w:t>
      </w:r>
    </w:p>
    <w:p>
      <w:pPr>
        <w:pStyle w:val="BodyText"/>
      </w:pPr>
      <w:r>
        <w:rPr>
          <w:b/>
          <w:bCs/>
        </w:rPr>
        <w:t xml:space="preserve">References</w:t>
      </w:r>
    </w:p>
    <w:p>
      <w:pPr>
        <w:pStyle w:val="BodyText"/>
      </w:pPr>
      <w:r>
        <w:t xml:space="preserve">[4] Reuters. (2026, June 4). European tech stocks fall as Broadcom AI guidance disappoints. Yahoo Finance. https://finance.yahoo.com/sectors/technology/articles/european-tech-stocks-fall-broadcom-095110583.html</w:t>
      </w:r>
      <w:r>
        <w:t xml:space="preserve"> </w:t>
      </w:r>
      <w:r>
        <w:t xml:space="preserve">[5] Benzinga. (2026, June 3). Broadcom Q2 2026 Earnings Call: Complete Transcript. Benzinga. https://www.benzinga.com/insights/news/26/06/52991968/broadcom-q2-2026-earnings-call-complete-transcript</w:t>
      </w:r>
      <w:r>
        <w:t xml:space="preserve"> </w:t>
      </w:r>
      <w:r>
        <w:t xml:space="preserve">[6] CNBC. (2026, June 3). Broadcom (AVGO) earnings report Q2 2026. CNBC. https://www.cnbc.com/2026/06/03/broadcom-avgo-earnings-report-q2-2026.html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5" w:name="二政治与外交"/>
    <w:p>
      <w:pPr>
        <w:pStyle w:val="Heading2"/>
      </w:pPr>
      <w:r>
        <w:rPr>
          <w:rFonts w:hint="eastAsia"/>
        </w:rPr>
        <w:t xml:space="preserve">二、政治与外交</w:t>
      </w:r>
    </w:p>
    <w:bookmarkStart w:id="12" w:name="德国战后首次落选联合国安理会非常任理事国"/>
    <w:p>
      <w:pPr>
        <w:pStyle w:val="Heading3"/>
      </w:pPr>
      <w:r>
        <w:rPr>
          <w:rFonts w:hint="eastAsia"/>
        </w:rPr>
        <w:t xml:space="preserve">德国战后首次落选联合国安理会非常任理事国</w:t>
      </w:r>
    </w:p>
    <w:p>
      <w:pPr>
        <w:pStyle w:val="FirstParagraph"/>
      </w:pPr>
      <w:r>
        <w:rPr>
          <w:rFonts w:hint="eastAsia"/>
        </w:rPr>
        <w:t xml:space="preserve">联合国大会6月3日不记名投票选出五席2027-2028年安理会非常任理事国，葡萄牙以134票、奥地利以131票拿下“西欧及其他”集团两个席位，德国仅获104票，距127票的三分之二门槛尚差23票。这是德国战后历史上首次在安理会竞选中败北——此前柏林曾六度成功当选——也是1990年两德统一以来首度铩羽。新任理事国奥地利、吉尔吉斯斯坦、葡萄牙、特立尼达和多巴哥与津巴布韦将于2027年1月1日起就职两年。</w:t>
      </w:r>
    </w:p>
    <w:p>
      <w:pPr>
        <w:pStyle w:val="BodyText"/>
      </w:pPr>
      <w:r>
        <w:rPr>
          <w:rFonts w:hint="eastAsia"/>
        </w:rPr>
        <w:t xml:space="preserve">德国外长约翰·瓦德富尔（Johann</w:t>
      </w:r>
      <w:r>
        <w:t xml:space="preserve"> </w:t>
      </w:r>
      <w:r>
        <w:rPr>
          <w:rFonts w:hint="eastAsia"/>
        </w:rPr>
        <w:t xml:space="preserve">Wadephul）当晚将结果定性为“一次苦涩的失败”。他承认柏林在乌克兰与以色列问题上的立场可能让德国失分。“我们在某些议题上始终立场鲜明，而这些立场并非所有成员国都认同，”瓦德富尔在投票后说，并重申“德国必须始终对以色列承担一份特殊的责任”。</w:t>
      </w:r>
    </w:p>
    <w:p>
      <w:pPr>
        <w:pStyle w:val="BodyText"/>
      </w:pPr>
      <w:r>
        <w:rPr>
          <w:rFonts w:hint="eastAsia"/>
        </w:rPr>
        <w:t xml:space="preserve">外部解读分歧明显。前德国外长、现任联合国大会主席安娜莱娜·贝尔伯克（Annalena</w:t>
      </w:r>
      <w:r>
        <w:t xml:space="preserve"> </w:t>
      </w:r>
      <w:r>
        <w:rPr>
          <w:rFonts w:hint="eastAsia"/>
        </w:rPr>
        <w:t xml:space="preserve">Baerbock）当场宣读了开票结果。华盛顿智库昆西研究所（Quincy</w:t>
      </w:r>
      <w:r>
        <w:t xml:space="preserve"> </w:t>
      </w:r>
      <w:r>
        <w:rPr>
          <w:rFonts w:hint="eastAsia"/>
        </w:rPr>
        <w:t xml:space="preserve">Institute）的Trita</w:t>
      </w:r>
      <w:r>
        <w:t xml:space="preserve"> </w:t>
      </w:r>
      <w:r>
        <w:rPr>
          <w:rFonts w:hint="eastAsia"/>
        </w:rPr>
        <w:t xml:space="preserve">Parsi评论称：“德国对以色列罪行的盲目支持让它失去了安理会席位。理应如此。”汉斯-赛德尔基金会（Hanns</w:t>
      </w:r>
      <w:r>
        <w:t xml:space="preserve"> Seidel </w:t>
      </w:r>
      <w:r>
        <w:rPr>
          <w:rFonts w:hint="eastAsia"/>
        </w:rPr>
        <w:t xml:space="preserve">Foundation）研究员Alexander</w:t>
      </w:r>
      <w:r>
        <w:t xml:space="preserve"> </w:t>
      </w:r>
      <w:r>
        <w:rPr>
          <w:rFonts w:hint="eastAsia"/>
        </w:rPr>
        <w:t xml:space="preserve">Wolf博士则把失利归因于“德国做得太少”，认为柏林对外承诺兑现不足，比加沙立场更具决定性。</w:t>
      </w:r>
    </w:p>
    <w:p>
      <w:pPr>
        <w:pStyle w:val="BodyText"/>
      </w:pPr>
      <w:r>
        <w:rPr>
          <w:b/>
          <w:bCs/>
        </w:rPr>
        <w:t xml:space="preserve">References</w:t>
      </w:r>
    </w:p>
    <w:p>
      <w:pPr>
        <w:pStyle w:val="BodyText"/>
      </w:pPr>
      <w:r>
        <w:t xml:space="preserve">[7] Al Jazeera. (2026, June 4). Did Germany lose its UNSC seat because of support for Israel?. Al Jazeera. https://www.aljazeera.com/news/2026/6/4/did-germany-lose-its-unsc-seat-because-of-support-for-israel</w:t>
      </w:r>
      <w:r>
        <w:t xml:space="preserve"> </w:t>
      </w:r>
      <w:r>
        <w:t xml:space="preserve">[8] Euronews. (2026, June 4). UN Security Council defeat raises questions about Germany’s global standing. Euronews. https://www.euronews.com/my-europe/2026/06/04/un-security-council-defeat-raises-questions-about-germanys-global-standing</w:t>
      </w:r>
    </w:p>
    <w:p>
      <w:r>
        <w:pict>
          <v:rect style="width:0;height:1.5pt" o:hralign="center" o:hrstd="t" o:hr="t"/>
        </w:pict>
      </w:r>
    </w:p>
    <w:bookmarkEnd w:id="12"/>
    <w:bookmarkStart w:id="13" w:name="美国通知nato盟友将合理调整对欧驻军规模"/>
    <w:p>
      <w:pPr>
        <w:pStyle w:val="Heading3"/>
      </w:pPr>
      <w:r>
        <w:rPr>
          <w:rFonts w:hint="eastAsia"/>
        </w:rPr>
        <w:t xml:space="preserve">美国通知NATO盟友将“合理调整”对欧驻军规模</w:t>
      </w:r>
    </w:p>
    <w:p>
      <w:pPr>
        <w:pStyle w:val="FirstParagraph"/>
      </w:pPr>
      <w:r>
        <w:rPr>
          <w:rFonts w:hint="eastAsia"/>
        </w:rPr>
        <w:t xml:space="preserve">美国驻欧洲司令部司令、北约欧洲盟军最高司令格林凯维奇上将（General</w:t>
      </w:r>
      <w:r>
        <w:t xml:space="preserve"> Alexus G. </w:t>
      </w:r>
      <w:r>
        <w:rPr>
          <w:rFonts w:hint="eastAsia"/>
        </w:rPr>
        <w:t xml:space="preserve">Grynkewich）6月4日确认，华盛顿已正式通知盟友将削减并重组对NATO力量模型（NATO</w:t>
      </w:r>
      <w:r>
        <w:t xml:space="preserve"> Force </w:t>
      </w:r>
      <w:r>
        <w:rPr>
          <w:rFonts w:hint="eastAsia"/>
        </w:rPr>
        <w:t xml:space="preserve">Model）的兵力贡献，预计交付欧洲战区的美军战斗机数量将减少约三分之一。该决定由战争政策副部长艾尔布里奇·科尔比（Elbridge</w:t>
      </w:r>
      <w:r>
        <w:t xml:space="preserve"> </w:t>
      </w:r>
      <w:r>
        <w:rPr>
          <w:rFonts w:hint="eastAsia"/>
        </w:rPr>
        <w:t xml:space="preserve">Colby）的办公室主任亚历山大·维莱兹-格林（Alexander</w:t>
      </w:r>
      <w:r>
        <w:t xml:space="preserve"> </w:t>
      </w:r>
      <w:r>
        <w:rPr>
          <w:rFonts w:hint="eastAsia"/>
        </w:rPr>
        <w:t xml:space="preserve">Velez-Green）于5月22日先行知会盟友，并在6月2日至3日于比利时蒙斯（Mons）的SHAPE北约部队来源会议（NATO</w:t>
      </w:r>
      <w:r>
        <w:t xml:space="preserve"> force sourcing </w:t>
      </w:r>
      <w:r>
        <w:rPr>
          <w:rFonts w:hint="eastAsia"/>
        </w:rPr>
        <w:t xml:space="preserve">conference）上正式讨论。</w:t>
      </w:r>
    </w:p>
    <w:p>
      <w:pPr>
        <w:pStyle w:val="BodyText"/>
      </w:pPr>
      <w:r>
        <w:rPr>
          <w:rFonts w:hint="eastAsia"/>
        </w:rPr>
        <w:t xml:space="preserve">格林凯维奇为决定辩护：“NATO力量模型对美军存在一种不健康的依赖。特朗普总统已表明这必须改变，而它也将改变。”会议由英国副最高盟军司令、空军上将Sir</w:t>
      </w:r>
      <w:r>
        <w:t xml:space="preserve"> Johnny </w:t>
      </w:r>
      <w:r>
        <w:rPr>
          <w:rFonts w:hint="eastAsia"/>
        </w:rPr>
        <w:t xml:space="preserve">Stringer主持，包括波罗的海三国在内的六个NATO盟友当场表达关切，担忧此举将在俄乌战事尚未停火、波罗的海安全形势紧绷之际削弱东翼威慑。该重组与特朗普政府推动盟友提高自身国防开支、由国防部长皮特·赫格塞斯（Pete</w:t>
      </w:r>
      <w:r>
        <w:t xml:space="preserve"> </w:t>
      </w:r>
      <w:r>
        <w:rPr>
          <w:rFonts w:hint="eastAsia"/>
        </w:rPr>
        <w:t xml:space="preserve">Hegseth）主导的对欧军事姿态调整相一致。</w:t>
      </w:r>
    </w:p>
    <w:p>
      <w:pPr>
        <w:pStyle w:val="BodyText"/>
      </w:pPr>
      <w:r>
        <w:rPr>
          <w:b/>
          <w:bCs/>
        </w:rPr>
        <w:t xml:space="preserve">References</w:t>
      </w:r>
    </w:p>
    <w:p>
      <w:pPr>
        <w:pStyle w:val="BodyText"/>
      </w:pPr>
      <w:r>
        <w:t xml:space="preserve">[9] The Daily Guardian. (2026, June 4). US to</w:t>
      </w:r>
      <w:r>
        <w:t xml:space="preserve"> </w:t>
      </w:r>
      <w:r>
        <w:t xml:space="preserve">“rightsize”</w:t>
      </w:r>
      <w:r>
        <w:t xml:space="preserve"> </w:t>
      </w:r>
      <w:r>
        <w:t xml:space="preserve">NATO force contributions, says US European Command. The Daily Guardian. https://thedailyguardian.com/world/us-to-rightsize-nato-force-contributions-says-us-european-command20260604143102-705326/</w:t>
      </w:r>
    </w:p>
    <w:p>
      <w:r>
        <w:pict>
          <v:rect style="width:0;height:1.5pt" o:hralign="center" o:hrstd="t" o:hr="t"/>
        </w:pict>
      </w:r>
    </w:p>
    <w:bookmarkEnd w:id="13"/>
    <w:bookmarkStart w:id="14" w:name="欧盟领导人赴蒂瓦特出席西巴尔干峰会"/>
    <w:p>
      <w:pPr>
        <w:pStyle w:val="Heading3"/>
      </w:pPr>
      <w:r>
        <w:rPr>
          <w:rFonts w:hint="eastAsia"/>
        </w:rPr>
        <w:t xml:space="preserve">欧盟领导人赴蒂瓦特出席西巴尔干峰会</w:t>
      </w:r>
    </w:p>
    <w:p>
      <w:pPr>
        <w:pStyle w:val="FirstParagraph"/>
      </w:pPr>
      <w:r>
        <w:rPr>
          <w:rFonts w:hint="eastAsia"/>
        </w:rPr>
        <w:t xml:space="preserve">2026年欧盟-西巴尔干峰会将于6月5日在黑山蒂瓦特（Tivat）召开，恰逢黑山宣布独立20周年。欧洲理事会主席安东尼奥·科斯塔（António</w:t>
      </w:r>
      <w:r>
        <w:t xml:space="preserve"> </w:t>
      </w:r>
      <w:r>
        <w:rPr>
          <w:rFonts w:hint="eastAsia"/>
        </w:rPr>
        <w:t xml:space="preserve">Costa）在峰会前一周走访六个西巴尔干国家——6月1日抵达萨拉热窝、6月2日转赴地拉那与斯科普里、6月3日前往普里什蒂纳、6月4日先后到访贝尔格莱德与蒂瓦特——以表明扩盟议程在欧盟议程上的优先位次。</w:t>
      </w:r>
    </w:p>
    <w:p>
      <w:pPr>
        <w:pStyle w:val="BodyText"/>
      </w:pPr>
      <w:r>
        <w:rPr>
          <w:rFonts w:hint="eastAsia"/>
        </w:rPr>
        <w:t xml:space="preserve">欧委会主席乌尔苏拉·冯德莱恩（Ursula</w:t>
      </w:r>
      <w:r>
        <w:t xml:space="preserve"> von der </w:t>
      </w:r>
      <w:r>
        <w:rPr>
          <w:rFonts w:hint="eastAsia"/>
        </w:rPr>
        <w:t xml:space="preserve">Leyen）、欧洲议会议长罗伯塔·梅措拉（Roberta</w:t>
      </w:r>
      <w:r>
        <w:t xml:space="preserve"> </w:t>
      </w:r>
      <w:r>
        <w:rPr>
          <w:rFonts w:hint="eastAsia"/>
        </w:rPr>
        <w:t xml:space="preserve">Metsola）以及欧盟外交与安全政策高级代表卡娅·卡拉斯（Kaja</w:t>
      </w:r>
      <w:r>
        <w:t xml:space="preserve"> </w:t>
      </w:r>
      <w:r>
        <w:rPr>
          <w:rFonts w:hint="eastAsia"/>
        </w:rPr>
        <w:t xml:space="preserve">Kallas）将与法国总统埃马纽埃尔·马克龙（Emmanuel</w:t>
      </w:r>
      <w:r>
        <w:t xml:space="preserve"> </w:t>
      </w:r>
      <w:r>
        <w:rPr>
          <w:rFonts w:hint="eastAsia"/>
        </w:rPr>
        <w:t xml:space="preserve">Macron）、德国总理弗里德里希·默茨（Friedrich</w:t>
      </w:r>
      <w:r>
        <w:t xml:space="preserve"> </w:t>
      </w:r>
      <w:r>
        <w:rPr>
          <w:rFonts w:hint="eastAsia"/>
        </w:rPr>
        <w:t xml:space="preserve">Merz）、意大利总理乔治亚·梅洛尼（Giorgia</w:t>
      </w:r>
      <w:r>
        <w:t xml:space="preserve"> </w:t>
      </w:r>
      <w:r>
        <w:rPr>
          <w:rFonts w:hint="eastAsia"/>
        </w:rPr>
        <w:t xml:space="preserve">Meloni）、丹麦首相梅特·弗雷德里克森（Mette</w:t>
      </w:r>
      <w:r>
        <w:t xml:space="preserve"> </w:t>
      </w:r>
      <w:r>
        <w:rPr>
          <w:rFonts w:hint="eastAsia"/>
        </w:rPr>
        <w:t xml:space="preserve">Frederiksen）与西班牙首相佩德罗·桑切斯（Pedro</w:t>
      </w:r>
      <w:r>
        <w:t xml:space="preserve"> </w:t>
      </w:r>
      <w:r>
        <w:rPr>
          <w:rFonts w:hint="eastAsia"/>
        </w:rPr>
        <w:t xml:space="preserve">Sánchez）等共同与会，黑山总统雅科夫·米拉托维奇（Jakov</w:t>
      </w:r>
      <w:r>
        <w:t xml:space="preserve"> </w:t>
      </w:r>
      <w:r>
        <w:rPr>
          <w:rFonts w:hint="eastAsia"/>
        </w:rPr>
        <w:t xml:space="preserve">Milatović）6月4日晚于蒂瓦特主持欢迎晚宴。</w:t>
      </w:r>
    </w:p>
    <w:p>
      <w:pPr>
        <w:pStyle w:val="BodyText"/>
      </w:pPr>
      <w:r>
        <w:rPr>
          <w:rFonts w:hint="eastAsia"/>
        </w:rPr>
        <w:t xml:space="preserve">黑山被视为本轮扩盟的领跑者，最快有望在2028年加入欧盟。理事会还预计授权启动欧盟与西巴尔干之间的免漫游费安排谈判——欧委会2月已正式提交立法提案——并将就乌克兰停火后的西巴尔干安全架构、与俄罗斯对该地区影响力的应对发出统一信号。</w:t>
      </w:r>
    </w:p>
    <w:p>
      <w:pPr>
        <w:pStyle w:val="BodyText"/>
      </w:pPr>
      <w:r>
        <w:rPr>
          <w:b/>
          <w:bCs/>
        </w:rPr>
        <w:t xml:space="preserve">References</w:t>
      </w:r>
    </w:p>
    <w:p>
      <w:pPr>
        <w:pStyle w:val="BodyText"/>
      </w:pPr>
      <w:r>
        <w:t xml:space="preserve">[10] Euronews. (2026, June 4). Europe Today: EU eyes expansion at high-stakes EU-Western Balkans Summit. Euronews. https://www.euronews.com/my-europe/2026/06/04/europe-today-eu-eyes-expansion-at-high-stakes-eu-western-balkans-summit</w:t>
      </w:r>
    </w:p>
    <w:p>
      <w:r>
        <w:pict>
          <v:rect style="width:0;height:1.5pt" o:hralign="center" o:hrstd="t" o:hr="t"/>
        </w:pict>
      </w:r>
    </w:p>
    <w:bookmarkEnd w:id="14"/>
    <w:bookmarkEnd w:id="15"/>
    <w:bookmarkStart w:id="19" w:name="三科技与产业"/>
    <w:p>
      <w:pPr>
        <w:pStyle w:val="Heading2"/>
      </w:pPr>
      <w:r>
        <w:rPr>
          <w:rFonts w:hint="eastAsia"/>
        </w:rPr>
        <w:t xml:space="preserve">三、科技与产业</w:t>
      </w:r>
    </w:p>
    <w:bookmarkStart w:id="16" w:name="欧盟推出技术主权一揽子计划应对80外部依赖"/>
    <w:p>
      <w:pPr>
        <w:pStyle w:val="Heading3"/>
      </w:pPr>
      <w:r>
        <w:rPr>
          <w:rFonts w:hint="eastAsia"/>
        </w:rPr>
        <w:t xml:space="preserve">欧盟推出技术主权一揽子计划应对80%外部依赖</w:t>
      </w:r>
    </w:p>
    <w:p>
      <w:pPr>
        <w:pStyle w:val="FirstParagraph"/>
      </w:pPr>
      <w:r>
        <w:rPr>
          <w:rFonts w:hint="eastAsia"/>
        </w:rPr>
        <w:t xml:space="preserve">欧委会6月3日正式公布欧洲技术主权一揽子计划（European</w:t>
      </w:r>
      <w:r>
        <w:t xml:space="preserve"> Technological Sovereignty </w:t>
      </w:r>
      <w:r>
        <w:rPr>
          <w:rFonts w:hint="eastAsia"/>
        </w:rPr>
        <w:t xml:space="preserve">Package），承认欧盟在关键数字产品、服务、基础设施与知识产权上对非欧盟供应商的依赖度已超过80%。一揽子计划包含四个支柱：芯片法案2.0（Chips</w:t>
      </w:r>
      <w:r>
        <w:t xml:space="preserve"> Act </w:t>
      </w:r>
      <w:r>
        <w:rPr>
          <w:rFonts w:hint="eastAsia"/>
        </w:rPr>
        <w:t xml:space="preserve">2.0），瞄准AI所需的先进制程晶圆代工；云与AI发展法案（Cloud</w:t>
      </w:r>
      <w:r>
        <w:t xml:space="preserve"> and AI Development Act, </w:t>
      </w:r>
      <w:r>
        <w:rPr>
          <w:rFonts w:hint="eastAsia"/>
        </w:rPr>
        <w:t xml:space="preserve">CADA），为公共部门云服务搭建欧盟主权框架；强化开源生态的配套机制；以及面向AI算力的能源路线图。</w:t>
      </w:r>
    </w:p>
    <w:p>
      <w:pPr>
        <w:pStyle w:val="BodyText"/>
      </w:pPr>
      <w:r>
        <w:rPr>
          <w:rFonts w:hint="eastAsia"/>
        </w:rPr>
        <w:t xml:space="preserve">负责技术主权、安全与民主事务的欧委会执行副主席Henna</w:t>
      </w:r>
      <w:r>
        <w:t xml:space="preserve"> </w:t>
      </w:r>
      <w:r>
        <w:rPr>
          <w:rFonts w:hint="eastAsia"/>
        </w:rPr>
        <w:t xml:space="preserve">Virkkunen将该计划上升至地缘高度。“我们生活在一个地缘政治和技术不可分割的世界，”她在布鲁塞尔的发布会上说，“引领技术创新的人将塑造未来，欧洲必须在其中扮演领导角色。”针对外界对欧美云服务巨头主导欧洲基础设施的质疑，她直白地表态：“我们要确保没有任何一方手握‘断电开关’。”</w:t>
      </w:r>
    </w:p>
    <w:p>
      <w:pPr>
        <w:pStyle w:val="BodyText"/>
      </w:pPr>
      <w:r>
        <w:rPr>
          <w:rFonts w:hint="eastAsia"/>
        </w:rPr>
        <w:t xml:space="preserve">CADA框架还计划把欧盟数据中心容量在5至7年内翻三倍，并在2035年前形成与本土AI需求相匹配的算力底座，配合同日推出的旗舰能源项目（详见下文）。</w:t>
      </w:r>
    </w:p>
    <w:p>
      <w:pPr>
        <w:pStyle w:val="BodyText"/>
      </w:pPr>
      <w:r>
        <w:rPr>
          <w:b/>
          <w:bCs/>
        </w:rPr>
        <w:t xml:space="preserve">References</w:t>
      </w:r>
    </w:p>
    <w:p>
      <w:pPr>
        <w:pStyle w:val="BodyText"/>
      </w:pPr>
      <w:r>
        <w:t xml:space="preserve">[11] European Commission. (2026, June 3). Strengthening Europe’s tech sovereignty. European Commission. https://commission.europa.eu/news-and-media/news/strengthening-europes-tech-sovereignty-2026-06-03_en</w:t>
      </w:r>
    </w:p>
    <w:p>
      <w:r>
        <w:pict>
          <v:rect style="width:0;height:1.5pt" o:hralign="center" o:hrstd="t" o:hr="t"/>
        </w:pict>
      </w:r>
    </w:p>
    <w:bookmarkEnd w:id="16"/>
    <w:bookmarkStart w:id="17" w:name="欧盟启动ai.grids旗舰项目与数据中心可持续宣言"/>
    <w:p>
      <w:pPr>
        <w:pStyle w:val="Heading3"/>
      </w:pPr>
      <w:r>
        <w:rPr>
          <w:rFonts w:hint="eastAsia"/>
        </w:rPr>
        <w:t xml:space="preserve">欧盟启动AI.grids旗舰项目与数据中心可持续宣言</w:t>
      </w:r>
    </w:p>
    <w:p>
      <w:pPr>
        <w:pStyle w:val="FirstParagraph"/>
      </w:pPr>
      <w:r>
        <w:rPr>
          <w:rFonts w:hint="eastAsia"/>
        </w:rPr>
        <w:t xml:space="preserve">欧盟能源与住房专员Dan</w:t>
      </w:r>
      <w:r>
        <w:t xml:space="preserve"> Jørgensen </w:t>
      </w:r>
      <w:r>
        <w:rPr>
          <w:rFonts w:hint="eastAsia"/>
        </w:rPr>
        <w:t xml:space="preserve">6月4日在布鲁塞尔主持签署仪式，14个欧洲行业协会与6家大型企业签署《数据中心可持续意向宣言》（Declaration</w:t>
      </w:r>
      <w:r>
        <w:t xml:space="preserve"> of </w:t>
      </w:r>
      <w:r>
        <w:rPr>
          <w:rFonts w:hint="eastAsia"/>
        </w:rPr>
        <w:t xml:space="preserve">Intent），同步启动汇集48家伙伴单位的AI.grids旗舰项目。该项目把人工智能技术嵌入欧洲电网调度，旨在为数据中心扩张释放灵活性容量，并降低高峰段对碳排放的拉动。</w:t>
      </w:r>
    </w:p>
    <w:p>
      <w:pPr>
        <w:pStyle w:val="BodyText"/>
      </w:pPr>
      <w:r>
        <w:rPr>
          <w:rFonts w:hint="eastAsia"/>
        </w:rPr>
        <w:t xml:space="preserve">签署时点对应国际能源署（IEA）的预测：到2030年全球数据中心电力消耗将较当前水平翻一番以上，而2026年即将逼近1,050太瓦时（TWh）。欧委会希望通过AI.grids与CADA配合，把欧盟数据中心容量在2035年前提升至当前的三倍，以承接欧洲生成式AI、产业数据空间与公共部门主权云的算力需求。</w:t>
      </w:r>
    </w:p>
    <w:p>
      <w:pPr>
        <w:pStyle w:val="BodyText"/>
      </w:pPr>
      <w:r>
        <w:rPr>
          <w:rFonts w:hint="eastAsia"/>
        </w:rPr>
        <w:t xml:space="preserve">宣言的关键意义在于把电网投资、能效标准与算力扩张捆绑：签约方承诺披露热回收、可再生能源采购与水耗等指标，并对电力消纳曲线做出公开测算。这是欧盟在《欧洲气候法》与最新《能源效率指令》框架下，首次面向数据中心行业达成的多边自愿性承诺。</w:t>
      </w:r>
    </w:p>
    <w:p>
      <w:pPr>
        <w:pStyle w:val="BodyText"/>
      </w:pPr>
      <w:r>
        <w:rPr>
          <w:b/>
          <w:bCs/>
        </w:rPr>
        <w:t xml:space="preserve">References</w:t>
      </w:r>
    </w:p>
    <w:p>
      <w:pPr>
        <w:pStyle w:val="BodyText"/>
      </w:pPr>
      <w:r>
        <w:t xml:space="preserve">[12] European Commission Directorate-General for Energy. (2026, June 4). Flagship projects: AI.grids and Data Centre Sustainability. European Commission. https://energy.ec.europa.eu/news/flagship-projects-ai-grids-and-data-centre-sustainability-2026-06-04_en</w:t>
      </w:r>
    </w:p>
    <w:p>
      <w:r>
        <w:pict>
          <v:rect style="width:0;height:1.5pt" o:hralign="center" o:hrstd="t" o:hr="t"/>
        </w:pict>
      </w:r>
    </w:p>
    <w:bookmarkEnd w:id="17"/>
    <w:bookmarkStart w:id="18" w:name="eic欧洲深科技企业累计融资达155亿欧元"/>
    <w:p>
      <w:pPr>
        <w:pStyle w:val="Heading3"/>
      </w:pPr>
      <w:r>
        <w:rPr>
          <w:rFonts w:hint="eastAsia"/>
        </w:rPr>
        <w:t xml:space="preserve">EIC：欧洲深科技企业累计融资达155亿欧元</w:t>
      </w:r>
    </w:p>
    <w:p>
      <w:pPr>
        <w:pStyle w:val="FirstParagraph"/>
      </w:pPr>
      <w:r>
        <w:rPr>
          <w:rFonts w:hint="eastAsia"/>
        </w:rPr>
        <w:t xml:space="preserve">欧洲创新理事会（EIC）6月4日在布鲁塞尔Tour</w:t>
      </w:r>
      <w:r>
        <w:t xml:space="preserve"> &amp; </w:t>
      </w:r>
      <w:r>
        <w:rPr>
          <w:rFonts w:hint="eastAsia"/>
        </w:rPr>
        <w:t xml:space="preserve">Taxis举行的EIC年度峰会上发布《2026年影响力报告》：自2021年成立以来，EIC支持的深科技公司已累计融资155亿欧元，过去一年新增3家深科技独角兽与12轮规模超过1亿欧元的股权融资。EIC自身投入65亿欧元，并撬动50亿欧元私人共投资金，杠杆比约为每1欧元EIC资金带动3.5欧元社会资本，参与的共同投资人超过1,000家。</w:t>
      </w:r>
    </w:p>
    <w:p>
      <w:pPr>
        <w:pStyle w:val="BodyText"/>
      </w:pPr>
      <w:r>
        <w:rPr>
          <w:rFonts w:hint="eastAsia"/>
        </w:rPr>
        <w:t xml:space="preserve">报告披露的结构性数字凸显深科技在欧洲创新版图中的位置：欧盟量子计算资金的45%、欧洲航天投资的25%流向EIC组合企业；80%的交易跨境完成，仅1%的受资助公司将总部迁出欧洲——这一比例长期是布鲁塞尔抗辩“欧洲创新外流论”的关键依据。组合覆盖31个国家，EIC基金已落地26国，女性主导的企业占比达30%。EIC</w:t>
      </w:r>
      <w:r>
        <w:t xml:space="preserve"> </w:t>
      </w:r>
      <w:r>
        <w:rPr>
          <w:rFonts w:hint="eastAsia"/>
        </w:rPr>
        <w:t xml:space="preserve">2026年工作计划同时为突破性创新与扩张性技术解锁14亿欧元资金。</w:t>
      </w:r>
    </w:p>
    <w:p>
      <w:pPr>
        <w:pStyle w:val="BodyText"/>
      </w:pPr>
      <w:r>
        <w:rPr>
          <w:rFonts w:hint="eastAsia"/>
        </w:rPr>
        <w:t xml:space="preserve">峰会同期颁发“欧洲女性创新者奖”（European</w:t>
      </w:r>
      <w:r>
        <w:t xml:space="preserve"> Prize for Women </w:t>
      </w:r>
      <w:r>
        <w:rPr>
          <w:rFonts w:hint="eastAsia"/>
        </w:rPr>
        <w:t xml:space="preserve">Innovators）：大奖授予捷克作家Dora</w:t>
      </w:r>
      <w:r>
        <w:t xml:space="preserve"> </w:t>
      </w:r>
      <w:r>
        <w:rPr>
          <w:rFonts w:hint="eastAsia"/>
        </w:rPr>
        <w:t xml:space="preserve">Kaprálová，特别提名颁给法国的Hélène</w:t>
      </w:r>
      <w:r>
        <w:t xml:space="preserve"> </w:t>
      </w:r>
      <w:r>
        <w:rPr>
          <w:rFonts w:hint="eastAsia"/>
        </w:rPr>
        <w:t xml:space="preserve">Frédérick与黑山的Vladimir</w:t>
      </w:r>
      <w:r>
        <w:t xml:space="preserve"> </w:t>
      </w:r>
      <w:r>
        <w:rPr>
          <w:rFonts w:hint="eastAsia"/>
        </w:rPr>
        <w:t xml:space="preserve">Vujović。报告写道：“欧洲正越来越成为深科技公司实现规模化的舞台。”</w:t>
      </w:r>
    </w:p>
    <w:p>
      <w:pPr>
        <w:pStyle w:val="BodyText"/>
      </w:pPr>
      <w:r>
        <w:rPr>
          <w:b/>
          <w:bCs/>
        </w:rPr>
        <w:t xml:space="preserve">References</w:t>
      </w:r>
    </w:p>
    <w:p>
      <w:pPr>
        <w:pStyle w:val="BodyText"/>
      </w:pPr>
      <w:r>
        <w:t xml:space="preserve">[13] European Innovation Council. (2026, June 4). EIC Impact Report 2026: Europe strengthens its position as a global deep-tech scaling hub. European Commission. https://eic.ec.europa.eu/news/eic-impact-report-2026-europe-strengthens-its-position-global-deep-tech-scaling-hub-2026-06-04_en</w:t>
      </w:r>
      <w:r>
        <w:t xml:space="preserve"> </w:t>
      </w:r>
      <w:r>
        <w:t xml:space="preserve">[14] ALICE. (2026, March). European Innovation Council adopts the 2026 Work Programme, unlocking €1.4 billion for breakthrough innovation and scale-up technologies. ALICE Alliance for Logistics Innovation through Collaboration in Europe. https://www.etp-logistics.eu/european-innovation-council-adopts-the-2026-work-programme-unlocking-e1-4-billion-for-breakthrough-innovation-and-scale-up-technologies/</w:t>
      </w:r>
    </w:p>
    <w:p>
      <w:r>
        <w:pict>
          <v:rect style="width:0;height:1.5pt" o:hralign="center" o:hrstd="t" o:hr="t"/>
        </w:pict>
      </w:r>
    </w:p>
    <w:bookmarkEnd w:id="18"/>
    <w:bookmarkEnd w:id="19"/>
    <w:bookmarkStart w:id="22" w:name="四社会与民生"/>
    <w:p>
      <w:pPr>
        <w:pStyle w:val="Heading2"/>
      </w:pPr>
      <w:r>
        <w:rPr>
          <w:rFonts w:hint="eastAsia"/>
        </w:rPr>
        <w:t xml:space="preserve">四、社会与民生</w:t>
      </w:r>
    </w:p>
    <w:bookmarkStart w:id="20" w:name="葡萄牙全国大罢工瘫痪交通医疗里斯本地铁停摆31.5小时"/>
    <w:p>
      <w:pPr>
        <w:pStyle w:val="Heading3"/>
      </w:pPr>
      <w:r>
        <w:rPr>
          <w:rFonts w:hint="eastAsia"/>
        </w:rPr>
        <w:t xml:space="preserve">葡萄牙全国大罢工瘫痪交通医疗里斯本地铁停摆31.5小时</w:t>
      </w:r>
    </w:p>
    <w:p>
      <w:pPr>
        <w:pStyle w:val="FirstParagraph"/>
      </w:pPr>
      <w:r>
        <w:rPr>
          <w:rFonts w:hint="eastAsia"/>
        </w:rPr>
        <w:t xml:space="preserve">葡萄牙总工会（CGTP-IN）号召的全国大罢工于6月3日（周三）举行，里斯本地铁停运31.5小时、约500班次跨TAP、Ryanair与easyJet等航空公司的航班被取消、TAP当日仅执飞通常300余班次中的79班，伊比利亚航空（Iberia）班次缩减50%至75%；国家医疗服务体系（NHS）夜班参与率攀至95%至100%。这是六个月内葡萄牙第二次全国大罢工，矛头直指中右翼总理路易斯·蒙特内格罗（Luís</w:t>
      </w:r>
      <w:r>
        <w:t xml:space="preserve"> </w:t>
      </w:r>
      <w:r>
        <w:rPr>
          <w:rFonts w:hint="eastAsia"/>
        </w:rPr>
        <w:t xml:space="preserve">Montenegro）领导的内阁5月14日通过、随后送交议会审议的“Trabalho</w:t>
      </w:r>
      <w:r>
        <w:t xml:space="preserve"> </w:t>
      </w:r>
      <w:r>
        <w:rPr>
          <w:rFonts w:hint="eastAsia"/>
        </w:rPr>
        <w:t xml:space="preserve">XXI”劳动法改革——一份对《劳动法》提出逾百项修正的法案。</w:t>
      </w:r>
    </w:p>
    <w:p>
      <w:pPr>
        <w:pStyle w:val="BodyText"/>
      </w:pPr>
      <w:r>
        <w:rPr>
          <w:rFonts w:hint="eastAsia"/>
        </w:rPr>
        <w:t xml:space="preserve">CGTP-IN总书记Tiago</w:t>
      </w:r>
      <w:r>
        <w:t xml:space="preserve"> </w:t>
      </w:r>
      <w:r>
        <w:rPr>
          <w:rFonts w:hint="eastAsia"/>
        </w:rPr>
        <w:t xml:space="preserve">Oliveira称当日“数据指向一次重大罢工”。劳动部长Maria</w:t>
      </w:r>
      <w:r>
        <w:t xml:space="preserve"> Rosário da Palma </w:t>
      </w:r>
      <w:r>
        <w:rPr>
          <w:rFonts w:hint="eastAsia"/>
        </w:rPr>
        <w:t xml:space="preserve">Ramalho则反驳称公共部门当日缺勤率仅为23%。蒙特内格罗坚持改革立场，斥责罢工“只是伤害了很多人”。议会外有五名抗议者被拘留。</w:t>
      </w:r>
    </w:p>
    <w:p>
      <w:pPr>
        <w:pStyle w:val="BodyText"/>
      </w:pPr>
      <w:r>
        <w:rPr>
          <w:rFonts w:hint="eastAsia"/>
        </w:rPr>
        <w:t xml:space="preserve">PSD/CDS-PP联合政府推动的“Trabalho</w:t>
      </w:r>
      <w:r>
        <w:t xml:space="preserve"> </w:t>
      </w:r>
      <w:r>
        <w:rPr>
          <w:rFonts w:hint="eastAsia"/>
        </w:rPr>
        <w:t xml:space="preserve">XXI”涵盖解雇赔偿调整、加班费计算、集体合同优先级与平台用工等议题，工会指其构成对工人权利的“系统性侵蚀”，并称其“违背葡萄牙共和国宪法”。CGTP方面将本次法案描述为对工人权利的攻击，认为其单方面破坏了三方协商传统。里斯本地铁已于6月4日6:30恢复正常运营。</w:t>
      </w:r>
    </w:p>
    <w:p>
      <w:pPr>
        <w:pStyle w:val="BodyText"/>
      </w:pPr>
      <w:r>
        <w:rPr>
          <w:b/>
          <w:bCs/>
        </w:rPr>
        <w:t xml:space="preserve">References</w:t>
      </w:r>
    </w:p>
    <w:p>
      <w:pPr>
        <w:pStyle w:val="BodyText"/>
      </w:pPr>
      <w:r>
        <w:t xml:space="preserve">[15] Euronews. (2026, June 3). General strike: CGTP hails strong turnout, government says most decided to go to work. Euronews. https://www.euronews.com/my-europe/2026/06/03/general-strike-cgtp-hails-strong-turnout-government-says-most-decided-to-go-to-work</w:t>
      </w:r>
      <w:r>
        <w:t xml:space="preserve"> </w:t>
      </w:r>
      <w:r>
        <w:t xml:space="preserve">[16] Cyprus Mail. (2026, June 3). Portugal general strike disrupts trains, flights and schools over labour reforms. Cyprus Mail. https://cyprus-mail.com/2026/06/03/portugal-general-strike-disrupts-trains-flights-and-schools-over-labour-reforms</w:t>
      </w:r>
    </w:p>
    <w:p>
      <w:r>
        <w:pict>
          <v:rect style="width:0;height:1.5pt" o:hralign="center" o:hrstd="t" o:hr="t"/>
        </w:pict>
      </w:r>
    </w:p>
    <w:bookmarkEnd w:id="20"/>
    <w:bookmarkStart w:id="21" w:name="欧盟绿色周开幕聚焦自然资本投资"/>
    <w:p>
      <w:pPr>
        <w:pStyle w:val="Heading3"/>
      </w:pPr>
      <w:r>
        <w:rPr>
          <w:rFonts w:hint="eastAsia"/>
        </w:rPr>
        <w:t xml:space="preserve">欧盟绿色周开幕聚焦自然资本投资</w:t>
      </w:r>
    </w:p>
    <w:p>
      <w:pPr>
        <w:pStyle w:val="FirstParagraph"/>
      </w:pPr>
      <w:r>
        <w:rPr>
          <w:rFonts w:hint="eastAsia"/>
        </w:rPr>
        <w:t xml:space="preserve">第26届欧盟绿色周（EU</w:t>
      </w:r>
      <w:r>
        <w:t xml:space="preserve"> Green </w:t>
      </w:r>
      <w:r>
        <w:rPr>
          <w:rFonts w:hint="eastAsia"/>
        </w:rPr>
        <w:t xml:space="preserve">Week）6月3日在布鲁塞尔开幕，主题定为“自然投资”。配套举办的Re:Invest</w:t>
      </w:r>
      <w:r>
        <w:t xml:space="preserve"> in </w:t>
      </w:r>
      <w:r>
        <w:rPr>
          <w:rFonts w:hint="eastAsia"/>
        </w:rPr>
        <w:t xml:space="preserve">Nature撮合活动将70家自然科技初创企业与机构投资人对接，覆盖森林监测、再生农业、海洋数据与生物多样性核算等赛道。欧委会环境总司专员Jessika</w:t>
      </w:r>
      <w:r>
        <w:t xml:space="preserve"> </w:t>
      </w:r>
      <w:r>
        <w:rPr>
          <w:rFonts w:hint="eastAsia"/>
        </w:rPr>
        <w:t xml:space="preserve">Roswall在开幕致辞中给出政策框架的支点性数字：欧洲多达三分之二的经济活动以“自然提供的服务”为基础。</w:t>
      </w:r>
    </w:p>
    <w:p>
      <w:pPr>
        <w:pStyle w:val="BodyText"/>
      </w:pPr>
      <w:r>
        <w:rPr>
          <w:rFonts w:hint="eastAsia"/>
        </w:rPr>
        <w:t xml:space="preserve">“健康的生态系统是有韧性、有竞争力的经济的基础，”Roswall说，“当我们对它们进行投资时，我们不是在自然与增长之间做选择，而是在选择那种能够持续的增长。”绿色周的议程将持续推进至《欧洲气候法》《自然恢复法案》落地节点之前，并与同期的数据中心可持续宣言、AI.grids项目在能源-自然-数字三重议程上形成呼应。</w:t>
      </w:r>
    </w:p>
    <w:p>
      <w:pPr>
        <w:pStyle w:val="BodyText"/>
      </w:pPr>
      <w:r>
        <w:rPr>
          <w:b/>
          <w:bCs/>
        </w:rPr>
        <w:t xml:space="preserve">References</w:t>
      </w:r>
    </w:p>
    <w:p>
      <w:pPr>
        <w:pStyle w:val="BodyText"/>
      </w:pPr>
      <w:r>
        <w:t xml:space="preserve">[17] European Commission Directorate-General for Environment. (2026, June 3). EU Green Week 2026 opens with focus on nature investment. European Commission. https://environment.ec.europa.eu/news/eu-green-week-2026-opens-focus-nature-investment-2026-06-03_en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1"/>
    <w:bookmarkEnd w:id="22"/>
    <w:bookmarkStart w:id="26" w:name="五企业ipo与并购"/>
    <w:p>
      <w:pPr>
        <w:pStyle w:val="Heading2"/>
      </w:pPr>
      <w:r>
        <w:rPr>
          <w:rFonts w:hint="eastAsia"/>
        </w:rPr>
        <w:t xml:space="preserve">五、企业IPO与并购</w:t>
      </w:r>
    </w:p>
    <w:bookmarkStart w:id="23" w:name="人头马君度全年利润下滑35股价因转型计划跳涨12"/>
    <w:p>
      <w:pPr>
        <w:pStyle w:val="Heading3"/>
      </w:pPr>
      <w:r>
        <w:rPr>
          <w:rFonts w:hint="eastAsia"/>
        </w:rPr>
        <w:t xml:space="preserve">人头马君度全年利润下滑35%股价因转型计划跳涨12%</w:t>
      </w:r>
    </w:p>
    <w:p>
      <w:pPr>
        <w:pStyle w:val="FirstParagraph"/>
      </w:pPr>
      <w:r>
        <w:rPr>
          <w:rFonts w:hint="eastAsia"/>
        </w:rPr>
        <w:t xml:space="preserve">巴黎上市的法国干邑与烈酒集团人头马君度（Rémy</w:t>
      </w:r>
      <w:r>
        <w:t xml:space="preserve"> Cointreau, </w:t>
      </w:r>
      <w:r>
        <w:rPr>
          <w:rFonts w:hint="eastAsia"/>
        </w:rPr>
        <w:t xml:space="preserve">RCO.PA）6月4日公布全年财报：归母净利润按报告口径同比下滑35.1%至7,870万欧元（上年同期1.212亿欧元）；全年销售额下降5%至9.353亿欧元；经营利润有机口径降幅11.5%至1.654亿欧元，优于市场预期的-12.8%。经营利润率自22%下行至17.7%。截至格林尼治时间09:45，公司股价上涨约12%至42.12欧元。</w:t>
      </w:r>
    </w:p>
    <w:p>
      <w:pPr>
        <w:pStyle w:val="BodyText"/>
      </w:pPr>
      <w:r>
        <w:rPr>
          <w:rFonts w:hint="eastAsia"/>
        </w:rPr>
        <w:t xml:space="preserve">股价跳涨的关键在于公司同步公布的为期三年“RC</w:t>
      </w:r>
      <w:r>
        <w:t xml:space="preserve"> </w:t>
      </w:r>
      <w:r>
        <w:rPr>
          <w:rFonts w:hint="eastAsia"/>
        </w:rPr>
        <w:t xml:space="preserve">Forward”转型计划——以2025-26财年为基期，目标在2028-29财年前通过新兴市场拓展、全球免税业务扩张、高端干邑组合释放与运营效率提升新增约1亿欧元经营利润。首席执行官Franck</w:t>
      </w:r>
      <w:r>
        <w:t xml:space="preserve"> </w:t>
      </w:r>
      <w:r>
        <w:rPr>
          <w:rFonts w:hint="eastAsia"/>
        </w:rPr>
        <w:t xml:space="preserve">Marilly形容公司“已经赢得了几场关键战役”，并把当下宏观环境定性为“持续复杂的宏观经济与地缘政治环境”，暗指过去12个月公司在美国关税冲击、中国市场库存调整与高端干邑去库存周期中度过最艰难阶段。</w:t>
      </w:r>
    </w:p>
    <w:p>
      <w:pPr>
        <w:pStyle w:val="BodyText"/>
      </w:pPr>
      <w:r>
        <w:rPr>
          <w:rFonts w:hint="eastAsia"/>
        </w:rPr>
        <w:t xml:space="preserve">转型计划的可信度取决于美国与中国两大市场的需求修复节奏——人民币与美元的汇率不利变动是当年报告口径与有机口径出现显著裂口的主要原因。投资者把今日跳涨解读为“业绩落地+计划兑现路径”的双重信号——而非单一季度反弹——这也是该股自2024年初以来单日最大涨幅之一。</w:t>
      </w:r>
    </w:p>
    <w:p>
      <w:pPr>
        <w:pStyle w:val="BodyText"/>
      </w:pPr>
      <w:r>
        <w:rPr>
          <w:b/>
          <w:bCs/>
        </w:rPr>
        <w:t xml:space="preserve">References</w:t>
      </w:r>
    </w:p>
    <w:p>
      <w:pPr>
        <w:pStyle w:val="BodyText"/>
      </w:pPr>
      <w:r>
        <w:t xml:space="preserve">[18] Euronews. (2026, June 4). Rémy Cointreau posts 35% profit drop, shares jump on recovery hopes. Euronews. https://www.euronews.com/business/2026/06/04/remy-cointreau-posts-35-profit-drop-shares-jump-on-recovery-hopes</w:t>
      </w:r>
      <w:r>
        <w:t xml:space="preserve"> </w:t>
      </w:r>
      <w:r>
        <w:t xml:space="preserve">[19] Bloomberg. (2026, June 4). Rémy Cointreau profit beats expectations as demand stabilizes. Bloomberg. https://www.bloomberg.com/news/articles/2026-06-04/remy-cointreau-profit-beats-expectations-as-demand-stabilizes</w:t>
      </w:r>
      <w:r>
        <w:t xml:space="preserve"> </w:t>
      </w:r>
      <w:r>
        <w:t xml:space="preserve">[20] Investing.com. (2026, June 4). Rémy Cointreau FY26 net profit falls 35% as US tariffs hit margins. Investing.com. https://ca.investing.com/news/earnings/remy-cointreau-fy26-net-profit-falls-35-as-us-tariffs-hit-margins-4675103</w:t>
      </w:r>
    </w:p>
    <w:p>
      <w:r>
        <w:pict>
          <v:rect style="width:0;height:1.5pt" o:hralign="center" o:hrstd="t" o:hr="t"/>
        </w:pict>
      </w:r>
    </w:p>
    <w:bookmarkEnd w:id="23"/>
    <w:bookmarkStart w:id="24" w:name="裕信对德国商业银行持股升至34.35敌意收购推进"/>
    <w:p>
      <w:pPr>
        <w:pStyle w:val="Heading3"/>
      </w:pPr>
      <w:r>
        <w:rPr>
          <w:rFonts w:hint="eastAsia"/>
        </w:rPr>
        <w:t xml:space="preserve">裕信对德国商业银行持股升至34.35%敌意收购推进</w:t>
      </w:r>
    </w:p>
    <w:p>
      <w:pPr>
        <w:pStyle w:val="FirstParagraph"/>
      </w:pPr>
      <w:r>
        <w:rPr>
          <w:rFonts w:hint="eastAsia"/>
        </w:rPr>
        <w:t xml:space="preserve">意大利裕信银行（UniCredit）截至6月2日把其对德国商业银行（Commerzbank）的直接持股提升至34.35%，远高于德国法律下30%的强制要约门槛，标志着首席执行官安德烈·奥赛尔（Andrea</w:t>
      </w:r>
      <w:r>
        <w:t xml:space="preserve"> </w:t>
      </w:r>
      <w:r>
        <w:rPr>
          <w:rFonts w:hint="eastAsia"/>
        </w:rPr>
        <w:t xml:space="preserve">Orcel）发起的欧洲跨境银行业并购最大一桩交易进入决定性阶段。裕信于5月5日正式启动敌意换股要约，按比例向德国商业银行股东派发0.458股新发裕信股票——以裕信周一收盘价73.72欧元计算，对德国商业银行隐含估值为每股35.75欧元，低于市场收盘价37欧元——投资者已就德国商业银行总股本的7.6%作出股份递交。</w:t>
      </w:r>
    </w:p>
    <w:p>
      <w:pPr>
        <w:pStyle w:val="BodyText"/>
      </w:pPr>
      <w:r>
        <w:rPr>
          <w:rFonts w:hint="eastAsia"/>
        </w:rPr>
        <w:t xml:space="preserve">德国商业银行管理层此前已建议股东拒绝该报价。该行此前发布逾百页防御材料，称裕信的报价对股东“未提供充分溢价”，并警告整合方案可能危及收入并引发大规模裁员。德国总理默茨亦公开反对裕信的攻势姿态，德国政府目前仍持有德国商业银行约12%股份。</w:t>
      </w:r>
    </w:p>
    <w:p>
      <w:pPr>
        <w:pStyle w:val="BodyText"/>
      </w:pPr>
      <w:r>
        <w:rPr>
          <w:rFonts w:hint="eastAsia"/>
        </w:rPr>
        <w:t xml:space="preserve">接受期截至2026年7月3日，鉴于反垄断与金融监管审批的复杂性，裕信预计交易最早需到2027年才能完成。报道由路透社记者Valentina</w:t>
      </w:r>
      <w:r>
        <w:t xml:space="preserve"> </w:t>
      </w:r>
      <w:r>
        <w:rPr>
          <w:rFonts w:hint="eastAsia"/>
        </w:rPr>
        <w:t xml:space="preserve">Za与Friedrike</w:t>
      </w:r>
      <w:r>
        <w:t xml:space="preserve"> </w:t>
      </w:r>
      <w:r>
        <w:rPr>
          <w:rFonts w:hint="eastAsia"/>
        </w:rPr>
        <w:t xml:space="preserve">Heine发布。</w:t>
      </w:r>
    </w:p>
    <w:p>
      <w:pPr>
        <w:pStyle w:val="BodyText"/>
      </w:pPr>
      <w:r>
        <w:rPr>
          <w:b/>
          <w:bCs/>
        </w:rPr>
        <w:t xml:space="preserve">References</w:t>
      </w:r>
    </w:p>
    <w:p>
      <w:pPr>
        <w:pStyle w:val="BodyText"/>
      </w:pPr>
      <w:r>
        <w:t xml:space="preserve">[21] Za, V., &amp; Heine, F. (2026, June 4). UniCredit says Commerzbank takeover bid stake reaches 34.35%. Reuters. https://finance.yahoo.com/news/unicredit-says-commerzbank-takeover-bid-132309860.html</w:t>
      </w:r>
      <w:r>
        <w:t xml:space="preserve"> </w:t>
      </w:r>
      <w:r>
        <w:t xml:space="preserve">[22] Bloomberg. (2026, May 18). Commerzbank rejects UniCredit’s €37 billion offer as too low. Bloomberg. https://www.bloomberg.com/news/articles/2026-05-18/commerzbank-rejects-unicredit-s-37-billion-offer-as-too-low</w:t>
      </w:r>
    </w:p>
    <w:p>
      <w:r>
        <w:pict>
          <v:rect style="width:0;height:1.5pt" o:hralign="center" o:hrstd="t" o:hr="t"/>
        </w:pict>
      </w:r>
    </w:p>
    <w:bookmarkEnd w:id="24"/>
    <w:bookmarkStart w:id="25" w:name="sfr-203.5亿欧元出售谈判进入最后时刻"/>
    <w:p>
      <w:pPr>
        <w:pStyle w:val="Heading3"/>
      </w:pPr>
      <w:r>
        <w:t xml:space="preserve">SFR </w:t>
      </w:r>
      <w:r>
        <w:rPr>
          <w:rFonts w:hint="eastAsia"/>
        </w:rPr>
        <w:t xml:space="preserve">203.5亿欧元出售谈判进入最后时刻</w:t>
      </w:r>
    </w:p>
    <w:p>
      <w:pPr>
        <w:pStyle w:val="FirstParagraph"/>
      </w:pPr>
      <w:r>
        <w:rPr>
          <w:rFonts w:hint="eastAsia"/>
        </w:rPr>
        <w:t xml:space="preserve">法国第二大移动运营商SFR的203.5亿欧元（约236.6亿美元）出售谈判已进入排他期最后小时。由布伊格电信（Bouygues</w:t>
      </w:r>
      <w:r>
        <w:t xml:space="preserve"> </w:t>
      </w:r>
      <w:r>
        <w:rPr>
          <w:rFonts w:hint="eastAsia"/>
        </w:rPr>
        <w:t xml:space="preserve">Telecom）、Free-Iliad集团与Orange组成的财团于4月17日递交修订报价——较2025年10月被现东家Patrick</w:t>
      </w:r>
      <w:r>
        <w:t xml:space="preserve"> </w:t>
      </w:r>
      <w:r>
        <w:rPr>
          <w:rFonts w:hint="eastAsia"/>
        </w:rPr>
        <w:t xml:space="preserve">Drahi立即拒绝的170亿欧元初始报价高出20%——目标在6月5日延长后的排他截止日前达成约束性协议。按价值划分，布伊格将获约42%的SFR资产、Iliad-Free获31%、Orange获27%。SFR的现东家是受困于债务重组的Altice</w:t>
      </w:r>
      <w:r>
        <w:t xml:space="preserve"> France。</w:t>
      </w:r>
    </w:p>
    <w:p>
      <w:pPr>
        <w:pStyle w:val="BodyText"/>
      </w:pPr>
      <w:r>
        <w:rPr>
          <w:rFonts w:hint="eastAsia"/>
        </w:rPr>
        <w:t xml:space="preserve">交易若落地，法国移动运营商数量将从四家降至三家，必然触发法国竞争管理局（Autorité</w:t>
      </w:r>
      <w:r>
        <w:t xml:space="preserve"> de la </w:t>
      </w:r>
      <w:r>
        <w:rPr>
          <w:rFonts w:hint="eastAsia"/>
        </w:rPr>
        <w:t xml:space="preserve">concurrence）的强制审查，并大概率附加频谱、零售门店与企业客户合同的剥离要求——这是欧洲电信业自2014年T-Mobile奥地利收购案以来最具份量的“由四变三”交易。Altice在最新声明中谨慎表态：“不能保证这些讨论一定会达成协议。”</w:t>
      </w:r>
    </w:p>
    <w:p>
      <w:pPr>
        <w:pStyle w:val="BodyText"/>
      </w:pPr>
      <w:r>
        <w:rPr>
          <w:rFonts w:hint="eastAsia"/>
        </w:rPr>
        <w:t xml:space="preserve">谈判的另一悬念在于债权人。Altice</w:t>
      </w:r>
      <w:r>
        <w:t xml:space="preserve"> France </w:t>
      </w:r>
      <w:r>
        <w:rPr>
          <w:rFonts w:hint="eastAsia"/>
        </w:rPr>
        <w:t xml:space="preserve">2024年完成的债务重整协议含有触发条款，一旦核心资产SFR出售，需就处置净额与债权人重新分配。市场普遍认为这一安排是当前谈判节奏紧绷的核心原因。</w:t>
      </w:r>
    </w:p>
    <w:p>
      <w:pPr>
        <w:pStyle w:val="BodyText"/>
      </w:pPr>
      <w:r>
        <w:rPr>
          <w:b/>
          <w:bCs/>
        </w:rPr>
        <w:t xml:space="preserve">References</w:t>
      </w:r>
    </w:p>
    <w:p>
      <w:pPr>
        <w:pStyle w:val="BodyText"/>
      </w:pPr>
      <w:r>
        <w:t xml:space="preserve">[23] Connexion France. (2026, June 4). SFR takeover talks extended until June: key points customers in France should know. Connexion France. https://www.connexionfrance.com/news/sfr-takeover-talks-extended-until-june-key-points-customers-in-france-should-know/791719</w:t>
      </w:r>
      <w:r>
        <w:t xml:space="preserve"> </w:t>
      </w:r>
      <w:r>
        <w:t xml:space="preserve">[24] Bloomberg. (2026, April 17). Bouygues, Iliad, Orange enter exclusive talks to buy SFR for €20.4 billion. Bloomberg. https://www.bloomberg.com/news/articles/2026-04-17/bouygues-led-group-in-talks-to-buy-sfr-in-20-4-billion-deal</w:t>
      </w:r>
      <w:r>
        <w:t xml:space="preserve"> </w:t>
      </w:r>
      <w:r>
        <w:t xml:space="preserve">[25] Orange. (2026, May 15). Extension of the exclusivity period granted by the Altice France group to Bouygues Telecom, the Free-iliad Group and Orange. Orange. https://www.orange.com/en/press-release/extension-de-la-periode-dexclusivite-accordee-par-le-groupe-altice-france-a-bouygues-telecom-free-groupe-iliad-et-orange-472368-472368</w:t>
      </w:r>
    </w:p>
    <w:p>
      <w:r>
        <w:pict>
          <v:rect style="width:0;height:1.5pt" o:hralign="center" o:hrstd="t" o:hr="t"/>
        </w:pict>
      </w:r>
    </w:p>
    <w:bookmarkEnd w:id="25"/>
    <w:bookmarkEnd w:id="26"/>
    <w:bookmarkStart w:id="28" w:name="六其他重要事件"/>
    <w:p>
      <w:pPr>
        <w:pStyle w:val="Heading2"/>
      </w:pPr>
      <w:r>
        <w:rPr>
          <w:rFonts w:hint="eastAsia"/>
        </w:rPr>
        <w:t xml:space="preserve">六、其他重要事件</w:t>
      </w:r>
    </w:p>
    <w:bookmarkStart w:id="27" w:name="baltops-2026北约波罗的海联合军演规模缩半启动"/>
    <w:p>
      <w:pPr>
        <w:pStyle w:val="Heading3"/>
      </w:pPr>
      <w:r>
        <w:t xml:space="preserve">BALTOPS </w:t>
      </w:r>
      <w:r>
        <w:rPr>
          <w:rFonts w:hint="eastAsia"/>
        </w:rPr>
        <w:t xml:space="preserve">2026北约波罗的海联合军演规模缩半启动</w:t>
      </w:r>
    </w:p>
    <w:p>
      <w:pPr>
        <w:pStyle w:val="FirstParagraph"/>
      </w:pPr>
      <w:r>
        <w:rPr>
          <w:rFonts w:hint="eastAsia"/>
        </w:rPr>
        <w:t xml:space="preserve">第55届BALTOPS年度演习6月4日在波兰格但斯克湾的格丁尼亚（Gdynia）正式启动，约6,000名军人、来自15国的约20艘舰艇参演，演习将持续至6月20日。规模约为2025年版本的一半——西方海军当前在中东霍尔木兹海峡与北极方向均承担吃紧的部署任务——但仍为本年度波罗的海地区最大规模军事行动。美海军以指挥舰USS</w:t>
      </w:r>
      <w:r>
        <w:t xml:space="preserve"> Mount </w:t>
      </w:r>
      <w:r>
        <w:rPr>
          <w:rFonts w:hint="eastAsia"/>
        </w:rPr>
        <w:t xml:space="preserve">Whitney承担指挥控制职能。</w:t>
      </w:r>
    </w:p>
    <w:p>
      <w:pPr>
        <w:pStyle w:val="BodyText"/>
      </w:pPr>
      <w:r>
        <w:rPr>
          <w:rFonts w:hint="eastAsia"/>
        </w:rPr>
        <w:t xml:space="preserve">德国海军少将Stephan</w:t>
      </w:r>
      <w:r>
        <w:t xml:space="preserve"> </w:t>
      </w:r>
      <w:r>
        <w:rPr>
          <w:rFonts w:hint="eastAsia"/>
        </w:rPr>
        <w:t xml:space="preserve">Haisch以波罗的海特遣编队司令身份主持启动仪式。“在此节点，一场以美国为首的大规模演习的举行本身，就是同盟力量的标志，”他说。德国2024年在罗斯托克（Rostock）设立的多国海军司令部首次以正式编成参与，承担演习东段——围绕瑞典哥得兰岛（Gotland）海上补给与航线保护——的指挥任务。1971年起每年举行的BALTOPS自瑞典、芬兰2023-2024年相继加入北约后，已成为同盟对俄罗斯波罗的海舰队战略威慑的核心载体。</w:t>
      </w:r>
    </w:p>
    <w:p>
      <w:pPr>
        <w:pStyle w:val="BodyText"/>
      </w:pPr>
      <w:r>
        <w:rPr>
          <w:b/>
          <w:bCs/>
        </w:rPr>
        <w:t xml:space="preserve">References</w:t>
      </w:r>
    </w:p>
    <w:p>
      <w:pPr>
        <w:pStyle w:val="BodyText"/>
      </w:pPr>
      <w:r>
        <w:t xml:space="preserve">[26] MarineLink. (2026, June 4). US, NATO allies launch scaled-back Baltic drills as global conflicts pull ships away. MarineLink. https://www.marinelink.com/news/us-nato-allies-launch-scaledback-baltic-539868</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2026-06-04T12:55:34Z</dcterms:created>
  <dcterms:modified xsi:type="dcterms:W3CDTF">2026-06-04T12:55:34Z</dcterms:modified>
</cp:coreProperties>
</file>

<file path=docProps/custom.xml><?xml version="1.0" encoding="utf-8"?>
<Properties xmlns="http://schemas.openxmlformats.org/officeDocument/2006/custom-properties" xmlns:vt="http://schemas.openxmlformats.org/officeDocument/2006/docPropsVTypes"/>
</file>