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2f36789844ed054a828df158b2d22f31dd0a45"/>
    <w:p>
      <w:pPr>
        <w:pStyle w:val="Heading1"/>
      </w:pPr>
      <w:r>
        <w:t xml:space="preserve">Europe Daily News Intelligence — June 19, 2026</w:t>
      </w:r>
    </w:p>
    <w:bookmarkStart w:id="11" w:name="economy-markets"/>
    <w:p>
      <w:pPr>
        <w:pStyle w:val="Heading2"/>
      </w:pPr>
      <w:r>
        <w:t xml:space="preserve">1. Economy &amp; Markets</w:t>
      </w:r>
    </w:p>
    <w:bookmarkStart w:id="9" w:name="Xffe9a9abd46c8c015bf97a29b18b5134bf788b3"/>
    <w:p>
      <w:pPr>
        <w:pStyle w:val="Heading3"/>
      </w:pPr>
      <w:r>
        <w:t xml:space="preserve">ECB consolidated banking data shows euro-area lenders sitting on €33.5tn, NPLs at 1.97%</w:t>
      </w:r>
    </w:p>
    <w:p>
      <w:pPr>
        <w:pStyle w:val="FirstParagraph"/>
      </w:pPr>
      <w:r>
        <w:t xml:space="preserve">Euro-area banks supervised by the ECB held combined total assets of €33.50 trillion at the end of December 2025, up 1.6% over the quarter, according to consolidated banking data the ECB published on 19 June 2026. The figures cover 332 significant banking groups and 2,292 less significant stand-alone institutions inside the Single Supervisory Mechanism, the banking-union framework that has placed the bloc’s largest lenders under direct ECB oversight since 2014.</w:t>
      </w:r>
    </w:p>
    <w:p>
      <w:pPr>
        <w:pStyle w:val="BodyText"/>
      </w:pPr>
      <w:r>
        <w:t xml:space="preserve">The asset-quality picture continued to improve. The non-performing loan ratio fell to 1.97%, extending a long decline from the double-digit levels that plagued southern European lenders after the sovereign-debt crisis. Return on equity stood at 9.3%, a level that keeps euro-area banks profitable but still short of the returns their US peers post.</w:t>
      </w:r>
    </w:p>
    <w:p>
      <w:pPr>
        <w:pStyle w:val="BodyText"/>
      </w:pPr>
      <w:r>
        <w:t xml:space="preserve">Capital buffers remained thick. The common equity tier 1 ratio — the core measure of a bank’s loss-absorbing capacity — was 16.42%, well above the 4.5% regulatory minimum. The quarterly release is the supervisor’s main scorecard on whether the system can withstand a downturn; on this reading, the cushion is roughly three and a half times the floor. The companion supervisory statistics for significant institutions, released in March, had shown the NPL ratio excluding central-bank balances at its lowest since the series began in 2020.</w:t>
      </w:r>
    </w:p>
    <w:p>
      <w:pPr>
        <w:pStyle w:val="BodyText"/>
      </w:pPr>
      <w:r>
        <w:rPr>
          <w:b/>
          <w:bCs/>
        </w:rPr>
        <w:t xml:space="preserve">References</w:t>
      </w:r>
    </w:p>
    <w:p>
      <w:pPr>
        <w:pStyle w:val="BodyText"/>
      </w:pPr>
      <w:r>
        <w:t xml:space="preserve">[1] European Central Bank. (2026, June 19). Consolidated banking data. European Central Bank. https://www.ecb.europa.eu/stats/supervisory/html/index.en.html</w:t>
      </w:r>
      <w:r>
        <w:t xml:space="preserve"> </w:t>
      </w:r>
      <w:r>
        <w:t xml:space="preserve">[2] European Central Bank. (2026, June 19). ECB publishes consolidated banking data for end-December 2025. European Central Bank. https://www.ecb.europa.eu/press/pr/date/2026/html/ecb.pr260619~f097597c01.en.html</w:t>
      </w:r>
    </w:p>
    <w:p>
      <w:r>
        <w:pict>
          <v:rect style="width:0;height:1.5pt" o:hralign="center" o:hrstd="t" o:hr="t"/>
        </w:pict>
      </w:r>
    </w:p>
    <w:bookmarkEnd w:id="9"/>
    <w:bookmarkStart w:id="10" w:name="X71af5418847ab56157a653765ec16814dbdf29e"/>
    <w:p>
      <w:pPr>
        <w:pStyle w:val="Heading3"/>
      </w:pPr>
      <w:r>
        <w:t xml:space="preserve">US opens Section 301 trade probe into Germany over drug pricing</w:t>
      </w:r>
    </w:p>
    <w:p>
      <w:pPr>
        <w:pStyle w:val="FirstParagraph"/>
      </w:pPr>
      <w:r>
        <w:t xml:space="preserve">US Trade Representative Jamieson Greer initiated a Section 301 investigation into Germany’s pharmaceutical pricing and reimbursement system on 19 June 2026, opening a new front in Washington’s drive to force foreign markets to pay more for American-developed medicines. The probe targets Germany’s Arzneimittelmarkt-Neuordnungsgesetz (AMNOG) system, under which the statutory health insurance fund (GKV) negotiates rebates with drugmakers after a new medicine launches.</w:t>
      </w:r>
    </w:p>
    <w:p>
      <w:pPr>
        <w:pStyle w:val="BodyText"/>
      </w:pPr>
      <w:r>
        <w:t xml:space="preserve">Section 301 of the Trade Act of 1974 lets the USTR retaliate against trade practices it deems unfair, up to and including tariffs — the same instrument used in earlier US-China trade fights. A public hearing is scheduled for September 2026.</w:t>
      </w:r>
    </w:p>
    <w:p>
      <w:pPr>
        <w:pStyle w:val="BodyText"/>
      </w:pPr>
      <w:r>
        <w:t xml:space="preserve">The move lands as German pricing policy is already under pressure from industry. Pfizer has warned Berlin that its German investments are at risk over the drug-pricing regime, AstraZeneca has signalled it may hold back new launches, and Eli Lilly said earlier in June it would halve a planned €2.3 billion investment. A draft German law to tighten rebate rules has prompted the government to soften some provisions. The German economy ministry said it was</w:t>
      </w:r>
      <w:r>
        <w:t xml:space="preserve"> </w:t>
      </w:r>
      <w:r>
        <w:t xml:space="preserve">“examining the notification carefully.”</w:t>
      </w:r>
      <w:r>
        <w:t xml:space="preserve"> </w:t>
      </w:r>
      <w:r>
        <w:t xml:space="preserve">The Germany probe follows similar Section 301 investigations Washington opened into France and Italy.</w:t>
      </w:r>
    </w:p>
    <w:p>
      <w:pPr>
        <w:pStyle w:val="BodyText"/>
      </w:pPr>
      <w:r>
        <w:rPr>
          <w:b/>
          <w:bCs/>
        </w:rPr>
        <w:t xml:space="preserve">References</w:t>
      </w:r>
    </w:p>
    <w:p>
      <w:pPr>
        <w:pStyle w:val="BodyText"/>
      </w:pPr>
      <w:r>
        <w:t xml:space="preserve">[3] Urbancik, J. (2026, June 19). US launches trade investigation into Germany over pharma pricing. Euronews. https://www.euronews.com/business/2026/06/19/us-launches-trade-investigation-into-germany-over-pharma-pricing</w:t>
      </w:r>
      <w:r>
        <w:t xml:space="preserve"> </w:t>
      </w:r>
      <w:r>
        <w:t xml:space="preserve">[4] Bloomberg. (2026, June 19). US opens trade probe into Germany pharma pricing. Bloomberg. https://www.bloomberg.com/news/articles/2026-06-19/us-opens-trade-probe-into-germany-pharma-pricing</w:t>
      </w:r>
      <w:r>
        <w:t xml:space="preserve"> </w:t>
      </w:r>
      <w:r>
        <w:t xml:space="preserve">[5] CNBC. (2026, June 19). US opens tariff probe targeting Germany’s drug pricing policies. CNBC. https://www.cnbc.com/2026/06/19/us-tariff-probe-germany-drug-pricing-policies-mfn.html</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0"/>
    <w:bookmarkEnd w:id="11"/>
    <w:bookmarkStart w:id="16" w:name="politics-diplomacy"/>
    <w:p>
      <w:pPr>
        <w:pStyle w:val="Heading2"/>
      </w:pPr>
      <w:r>
        <w:t xml:space="preserve">2. Politics &amp; Diplomacy</w:t>
      </w:r>
    </w:p>
    <w:bookmarkStart w:id="12" w:name="X6e373cf643b88ab191bc7fc2b1caa6b6e25c09b"/>
    <w:p>
      <w:pPr>
        <w:pStyle w:val="Heading3"/>
      </w:pPr>
      <w:r>
        <w:t xml:space="preserve">European Council opens Ukraine accession cluster, sets 2030 defence target, extends Russia sanctions 12 months</w:t>
      </w:r>
    </w:p>
    <w:p>
      <w:pPr>
        <w:pStyle w:val="FirstParagraph"/>
      </w:pPr>
      <w:r>
        <w:t xml:space="preserve">The European Council closed its 18-19 June 2026 summit on 19 June by opening a new cluster of Ukraine accession talks covering the rule of law and fundamental rights — the first all-27 unanimous conclusion on Ukraine since March 2025. The breakthrough became possible only after Hungary’s government change removed Viktor Orbán, who had blocked progress for roughly two years. His successor, Péter Magyar — who took office in May after defeating Orbán in April — made his European Council debut, pledging a</w:t>
      </w:r>
      <w:r>
        <w:t xml:space="preserve"> </w:t>
      </w:r>
      <w:r>
        <w:t xml:space="preserve">“different method”</w:t>
      </w:r>
      <w:r>
        <w:t xml:space="preserve"> </w:t>
      </w:r>
      <w:r>
        <w:t xml:space="preserve">toward Kyiv after striking a side deal on the rights of the roughly 100,000 ethnic Hungarians in Ukraine’s Transcarpathia region.</w:t>
      </w:r>
    </w:p>
    <w:p>
      <w:pPr>
        <w:pStyle w:val="BodyText"/>
      </w:pPr>
      <w:r>
        <w:t xml:space="preserve">Leaders agreed a defence readiness target requiring all member states to hit military capability benchmarks by 2030, operationalising the bloc’s ReArm/SAFE framework. They approved disbursement of the next €90 billion tranche of Ukraine Facility loan support before end-June 2026, and extended economic sanctions on Russia for 12 months rather than the usual six — the council framing the longer term as a way to give</w:t>
      </w:r>
      <w:r>
        <w:t xml:space="preserve"> </w:t>
      </w:r>
      <w:r>
        <w:t xml:space="preserve">“greater predictability.”</w:t>
      </w:r>
    </w:p>
    <w:p>
      <w:pPr>
        <w:pStyle w:val="BodyText"/>
      </w:pPr>
      <w:r>
        <w:t xml:space="preserve">On China, the council mandated Commission President Ursula von der Leyen to</w:t>
      </w:r>
      <w:r>
        <w:t xml:space="preserve"> </w:t>
      </w:r>
      <w:r>
        <w:t xml:space="preserve">“develop and eventually complement the toolbox in the area of trade defence”</w:t>
      </w:r>
      <w:r>
        <w:t xml:space="preserve"> </w:t>
      </w:r>
      <w:r>
        <w:t xml:space="preserve">against subsidised Chinese goods; the EU-China trade deficit reached €360 billion in 2025.</w:t>
      </w:r>
      <w:r>
        <w:t xml:space="preserve"> </w:t>
      </w:r>
      <w:r>
        <w:t xml:space="preserve">“The tide is turning. Ukraine is holding the line,”</w:t>
      </w:r>
      <w:r>
        <w:t xml:space="preserve"> </w:t>
      </w:r>
      <w:r>
        <w:t xml:space="preserve">von der Leyen said in her closing remarks. The summit also took up the 2028-2034 multiannual financial framework, migration, drug trafficking and border security.</w:t>
      </w:r>
    </w:p>
    <w:p>
      <w:pPr>
        <w:pStyle w:val="BodyText"/>
      </w:pPr>
      <w:r>
        <w:rPr>
          <w:b/>
          <w:bCs/>
        </w:rPr>
        <w:t xml:space="preserve">References</w:t>
      </w:r>
    </w:p>
    <w:p>
      <w:pPr>
        <w:pStyle w:val="BodyText"/>
      </w:pPr>
      <w:r>
        <w:t xml:space="preserve">[6] Council of the European Union. (2026, June 19). European Council meeting, 18-19 June 2026. Council of the European Union. https://www.consilium.europa.eu/en/meetings/european-council/2026/06/18-19/</w:t>
      </w:r>
      <w:r>
        <w:t xml:space="preserve"> </w:t>
      </w:r>
      <w:r>
        <w:t xml:space="preserve">[7] Council of the European Union. (2026, June 18). European Council conclusions on Ukraine and on European defence and security. Council of the European Union. https://www.consilium.europa.eu/en/press/press-releases/2026/06/18/european-council-conclusions-on-ukraine-and-on-european-defence-and-security/</w:t>
      </w:r>
      <w:r>
        <w:t xml:space="preserve"> </w:t>
      </w:r>
      <w:r>
        <w:t xml:space="preserve">[8] Euronews. (2026, June 18). EU summit: Leaders and Zelenskyy to debate accession and peace negotiations. Euronews. https://www.euronews.com/my-europe/2026/06/18/eu-summit-leaders-and-zelenskyy-to-debate-accession-and-peace-negotiations</w:t>
      </w:r>
      <w:r>
        <w:t xml:space="preserve"> </w:t>
      </w:r>
      <w:r>
        <w:t xml:space="preserve">[9] Eunews. (2026, June 18). Ukraine, China, global challenges and the row over the common budget: the two-day EU leaders summit. Eunews. https://www.eunews.it/en/2026/06/18/ukraine-china-global-challenges-and-the-row-over-the-common-budget-the-two-day-eu-leaders-summit/</w:t>
      </w:r>
    </w:p>
    <w:p>
      <w:r>
        <w:pict>
          <v:rect style="width:0;height:1.5pt" o:hralign="center" o:hrstd="t" o:hr="t"/>
        </w:pict>
      </w:r>
    </w:p>
    <w:bookmarkEnd w:id="12"/>
    <w:bookmarkStart w:id="13" w:name="X2820ed4c81051c48b802fec054930b39673d7bb"/>
    <w:p>
      <w:pPr>
        <w:pStyle w:val="Heading3"/>
      </w:pPr>
      <w:r>
        <w:t xml:space="preserve">Costa defends opening a back channel to the Kremlin as EU leaders split</w:t>
      </w:r>
    </w:p>
    <w:p>
      <w:pPr>
        <w:pStyle w:val="FirstParagraph"/>
      </w:pPr>
      <w:r>
        <w:t xml:space="preserve">European Council President António Costa on 19 June 2026 defended his decision to authorise his chief of cabinet, Pedro Lourtie, to hold telephone calls with a Kremlin aide to test whether conditions existed for peace talks. Costa said the channel had concluded those conditions were absent and characterised the episode as</w:t>
      </w:r>
      <w:r>
        <w:t xml:space="preserve"> </w:t>
      </w:r>
      <w:r>
        <w:t xml:space="preserve">“brief contacts with no exchange on substance.”</w:t>
      </w:r>
    </w:p>
    <w:p>
      <w:pPr>
        <w:pStyle w:val="BodyText"/>
      </w:pPr>
      <w:r>
        <w:t xml:space="preserve">The disclosure split the bloc. Polish Prime Minister Donald Tusk and Baltic leaders called the outreach premature and damaging; the Belgian and Slovenian prime ministers were more understanding. Ukrainian President Zelenskyy reiterated that any peace process must be driven by Ukraine. The row exposes a persistent fault line at the top of the EU over whether — and through whom — Europe should talk to Moscow while the war continues.</w:t>
      </w:r>
    </w:p>
    <w:p>
      <w:pPr>
        <w:pStyle w:val="BodyText"/>
      </w:pPr>
      <w:r>
        <w:rPr>
          <w:b/>
          <w:bCs/>
        </w:rPr>
        <w:t xml:space="preserve">References</w:t>
      </w:r>
    </w:p>
    <w:p>
      <w:pPr>
        <w:pStyle w:val="BodyText"/>
      </w:pPr>
      <w:r>
        <w:t xml:space="preserve">[10] Liboreiro, J., &amp; Tadeo, M. (2026, June 19). Costa defends surprise decision to open diplomatic channel with Russia. Euronews. https://www.euronews.com/my-europe/2026/06/19/costa-defends-surprise-decision-to-open-diplomatic-channel-with-russia</w:t>
      </w:r>
    </w:p>
    <w:p>
      <w:r>
        <w:pict>
          <v:rect style="width:0;height:1.5pt" o:hralign="center" o:hrstd="t" o:hr="t"/>
        </w:pict>
      </w:r>
    </w:p>
    <w:bookmarkEnd w:id="13"/>
    <w:bookmarkStart w:id="14" w:name="X68e4d5f8861735354b486ee92d2b4689c7a2ec3"/>
    <w:p>
      <w:pPr>
        <w:pStyle w:val="Heading3"/>
      </w:pPr>
      <w:r>
        <w:t xml:space="preserve">Andy Burnham wins Makerfield by-election, sharpening the threat to Starmer</w:t>
      </w:r>
    </w:p>
    <w:p>
      <w:pPr>
        <w:pStyle w:val="FirstParagraph"/>
      </w:pPr>
      <w:r>
        <w:t xml:space="preserve">Andy Burnham, Mayor of Greater Manchester, won the Makerfield parliamentary by-election with 24,927 votes on 19 June 2026, beating the Reform UK candidate Kenyon by more than 9,000 on a 58.75% turnout. The result hands Burnham a route back into the House of Commons — and, under Britain’s parliamentary system, a platform from which a governing-party leader can be replaced mid-term without a general election.</w:t>
      </w:r>
    </w:p>
    <w:p>
      <w:pPr>
        <w:pStyle w:val="BodyText"/>
      </w:pPr>
      <w:r>
        <w:t xml:space="preserve">The contest was widely read as a leadership audition. An Ipsos poll released alongside the result found 25% of voters preferred Burnham as Prime Minister versus 12% for Keir Starmer. The by-election followed a period in which 20 ministerial resignations battered the government, after the party’s heavy losses in the spring local elections triggered open calls for Starmer to set a departure timetable.</w:t>
      </w:r>
    </w:p>
    <w:p>
      <w:pPr>
        <w:pStyle w:val="BodyText"/>
      </w:pPr>
      <w:r>
        <w:t xml:space="preserve">Burnham, who has held the Greater Manchester mayoralty since 2017, has repeatedly declined to rule out a leadership bid. Starmer has suggested any return to Parliament for Burnham realistically waits until 2028.</w:t>
      </w:r>
    </w:p>
    <w:p>
      <w:pPr>
        <w:pStyle w:val="BodyText"/>
      </w:pPr>
      <w:r>
        <w:rPr>
          <w:b/>
          <w:bCs/>
        </w:rPr>
        <w:t xml:space="preserve">References</w:t>
      </w:r>
    </w:p>
    <w:p>
      <w:pPr>
        <w:pStyle w:val="BodyText"/>
      </w:pPr>
      <w:r>
        <w:t xml:space="preserve">[11] Al Jazeera. (2026, June 19). Andy Burnham wins UK Makerfield by-election. Al Jazeera. https://www.aljazeera.com/news/2026/6/19/andy-burnham-wins-uk-makerfield-by-election</w:t>
      </w:r>
      <w:r>
        <w:t xml:space="preserve"> </w:t>
      </w:r>
      <w:r>
        <w:t xml:space="preserve">[12] NPR. (2026, June 19). Labour’s Andy Burnham wins a special election, setting up a showdown with Starmer to lead Britain. NPR. https://www.npr.org/2026/06/19/nx-s1-5864087/labour-andy-burnham-wins-special-election</w:t>
      </w:r>
    </w:p>
    <w:p>
      <w:r>
        <w:pict>
          <v:rect style="width:0;height:1.5pt" o:hralign="center" o:hrstd="t" o:hr="t"/>
        </w:pict>
      </w:r>
    </w:p>
    <w:bookmarkEnd w:id="14"/>
    <w:bookmarkStart w:id="15" w:name="Xb0b209e40b29936636d859a44acb7bb0b7de95d"/>
    <w:p>
      <w:pPr>
        <w:pStyle w:val="Heading3"/>
      </w:pPr>
      <w:r>
        <w:t xml:space="preserve">Zelenskyy tells EU summit Ukraine deserves fast membership, dismisses Putin peace claims as lies</w:t>
      </w:r>
    </w:p>
    <w:p>
      <w:pPr>
        <w:pStyle w:val="FirstParagraph"/>
      </w:pPr>
      <w:r>
        <w:t xml:space="preserve">Ukrainian President Volodymyr Zelenskyy told the European Council on 19 June 2026 that Ukraine</w:t>
      </w:r>
      <w:r>
        <w:t xml:space="preserve"> </w:t>
      </w:r>
      <w:r>
        <w:t xml:space="preserve">“deserves fast EU membership more than any other country,”</w:t>
      </w:r>
      <w:r>
        <w:t xml:space="preserve"> </w:t>
      </w:r>
      <w:r>
        <w:t xml:space="preserve">pressing leaders to open all accession chapters simultaneously rather than cluster by cluster.</w:t>
      </w:r>
      <w:r>
        <w:t xml:space="preserve"> </w:t>
      </w:r>
      <w:r>
        <w:t xml:space="preserve">“We have survived Orbán,”</w:t>
      </w:r>
      <w:r>
        <w:t xml:space="preserve"> </w:t>
      </w:r>
      <w:r>
        <w:t xml:space="preserve">he said, marking the removal of the Hungarian leader who long blocked Kyiv’s path.</w:t>
      </w:r>
    </w:p>
    <w:p>
      <w:pPr>
        <w:pStyle w:val="BodyText"/>
      </w:pPr>
      <w:r>
        <w:t xml:space="preserve">Zelenskyy described Ukraine’s armed forces as</w:t>
      </w:r>
      <w:r>
        <w:t xml:space="preserve"> </w:t>
      </w:r>
      <w:r>
        <w:t xml:space="preserve">“de facto NATO’s second-strongest army”</w:t>
      </w:r>
      <w:r>
        <w:t xml:space="preserve"> </w:t>
      </w:r>
      <w:r>
        <w:t xml:space="preserve">and dismissed Vladimir Putin’s stated openness to peace talks as</w:t>
      </w:r>
      <w:r>
        <w:t xml:space="preserve"> </w:t>
      </w:r>
      <w:r>
        <w:t xml:space="preserve">“lies.”</w:t>
      </w:r>
      <w:r>
        <w:t xml:space="preserve"> </w:t>
      </w:r>
      <w:r>
        <w:t xml:space="preserve">He referenced the newly approved €90 billion Ukraine Facility tranche, framing continued EU financing and accession as inseparable from the war effort.</w:t>
      </w:r>
    </w:p>
    <w:p>
      <w:pPr>
        <w:pStyle w:val="BodyText"/>
      </w:pPr>
      <w:r>
        <w:rPr>
          <w:b/>
          <w:bCs/>
        </w:rPr>
        <w:t xml:space="preserve">References</w:t>
      </w:r>
    </w:p>
    <w:p>
      <w:pPr>
        <w:pStyle w:val="BodyText"/>
      </w:pPr>
      <w:r>
        <w:t xml:space="preserve">[13] Euronews. (2026, June 19). Zelenskyy: Ukraine deserves fast EU membership more than any other country. Euronews. https://www.euronews.com/my-europe/2026/06/19/zelenskyy-ukraine-deserves-fast-eu-membership-more-than-any-other-country</w:t>
      </w:r>
    </w:p>
    <w:p>
      <w:r>
        <w:pict>
          <v:rect style="width:0;height:1.5pt" o:hralign="center" o:hrstd="t" o:hr="t"/>
        </w:pict>
      </w:r>
    </w:p>
    <w:bookmarkEnd w:id="15"/>
    <w:bookmarkEnd w:id="16"/>
    <w:bookmarkStart w:id="19" w:name="technology-industry"/>
    <w:p>
      <w:pPr>
        <w:pStyle w:val="Heading2"/>
      </w:pPr>
      <w:r>
        <w:t xml:space="preserve">3. Technology &amp; Industry</w:t>
      </w:r>
    </w:p>
    <w:bookmarkStart w:id="17" w:name="Xdd4a5b6b8fa7bef1ec59b51f5a2e24684ef0294"/>
    <w:p>
      <w:pPr>
        <w:pStyle w:val="Heading3"/>
      </w:pPr>
      <w:r>
        <w:t xml:space="preserve">European platform</w:t>
      </w:r>
      <w:r>
        <w:t xml:space="preserve"> </w:t>
      </w:r>
      <w:r>
        <w:t xml:space="preserve">“W”</w:t>
      </w:r>
      <w:r>
        <w:t xml:space="preserve"> </w:t>
      </w:r>
      <w:r>
        <w:t xml:space="preserve">launches beta as sovereign rival to X, von der Leyen and Costa sign up</w:t>
      </w:r>
    </w:p>
    <w:p>
      <w:pPr>
        <w:pStyle w:val="FirstParagraph"/>
      </w:pPr>
      <w:r>
        <w:t xml:space="preserve">A European social media platform called</w:t>
      </w:r>
      <w:r>
        <w:t xml:space="preserve"> </w:t>
      </w:r>
      <w:r>
        <w:t xml:space="preserve">“W”</w:t>
      </w:r>
      <w:r>
        <w:t xml:space="preserve"> </w:t>
      </w:r>
      <w:r>
        <w:t xml:space="preserve">entered closed beta on 19 June 2026, pitched as a sovereign alternative to Elon Musk’s X. Led by CEO Anna Zeiter, the platform uses government-ID-based verification and runs on European infrastructure — servers hosted by Proton in Switzerland and UpCloud in Finland — to keep user data inside GDPR-compliant jurisdictions.</w:t>
      </w:r>
    </w:p>
    <w:p>
      <w:pPr>
        <w:pStyle w:val="BodyText"/>
      </w:pPr>
      <w:r>
        <w:t xml:space="preserve">The launch carried unusual political weight. European Commission President Ursula von der Leyen and European Council President António Costa both joined on day one, a public signal of EU institutional appetite for a homegrown alternative to US-owned platforms. Access is gated by application and vetting, slowing growth but reinforcing the verification-first pitch.</w:t>
      </w:r>
    </w:p>
    <w:p>
      <w:pPr>
        <w:pStyle w:val="BodyText"/>
      </w:pPr>
      <w:r>
        <w:rPr>
          <w:b/>
          <w:bCs/>
        </w:rPr>
        <w:t xml:space="preserve">References</w:t>
      </w:r>
    </w:p>
    <w:p>
      <w:pPr>
        <w:pStyle w:val="BodyText"/>
      </w:pPr>
      <w:r>
        <w:t xml:space="preserve">[14] Euronews. (2026, June 19). European social media platform W launches beta in direct challenge to X. Euronews. https://www.euronews.com/next/2026/06/19/european-social-media-platform-w-launches-beta-in-direct-challenge-to-x</w:t>
      </w:r>
    </w:p>
    <w:p>
      <w:r>
        <w:pict>
          <v:rect style="width:0;height:1.5pt" o:hralign="center" o:hrstd="t" o:hr="t"/>
        </w:pict>
      </w:r>
    </w:p>
    <w:bookmarkEnd w:id="17"/>
    <w:bookmarkStart w:id="18" w:name="Xc49376c1d851b354dc8580df6f4568a2d6466b2"/>
    <w:p>
      <w:pPr>
        <w:pStyle w:val="Heading3"/>
      </w:pPr>
      <w:r>
        <w:t xml:space="preserve">UNIDIR convenes Geneva conference on AI, security and ethics with Grossi and Nakamitsu</w:t>
      </w:r>
    </w:p>
    <w:p>
      <w:pPr>
        <w:pStyle w:val="FirstParagraph"/>
      </w:pPr>
      <w:r>
        <w:t xml:space="preserve">UNIDIR held its Global Conference on AI, Security and Ethics on 18-19 June 2026 at the Palais des Nations in Geneva, co-sponsored by Microsoft, drawing diplomats and technologists to debate how to govern military uses of artificial intelligence. Speakers included Izumi Nakamitsu, the UN High Representative for Disarmament Affairs, and Rafael Grossi, Director General of the IAEA.</w:t>
      </w:r>
    </w:p>
    <w:p>
      <w:pPr>
        <w:pStyle w:val="BodyText"/>
      </w:pPr>
      <w:r>
        <w:t xml:space="preserve">Sessions covered algorithmic bias, agentic AI, AI-military integration, counter-AI techniques and the emerging body of UN soft law. The conference followed UNIDIR’s 17 June launch of a permanent Centre of Excellence on AI, Peace and Security, and ran alongside the 2026 informal exchanges on AI in the military domain held pursuant to UN resolution 80/58 — a sign that what began as open-ended debate is hardening into a standing institutional process.</w:t>
      </w:r>
    </w:p>
    <w:p>
      <w:pPr>
        <w:pStyle w:val="BodyText"/>
      </w:pPr>
      <w:r>
        <w:rPr>
          <w:b/>
          <w:bCs/>
        </w:rPr>
        <w:t xml:space="preserve">References</w:t>
      </w:r>
    </w:p>
    <w:p>
      <w:pPr>
        <w:pStyle w:val="BodyText"/>
      </w:pPr>
      <w:r>
        <w:t xml:space="preserve">[15] UNIDIR. (2026, June 19). Global Conference on AI, Security and Ethics 2026. UNIDIR. https://unidir.org/event/global-conference-on-ai-security-and-ethics-2026/</w:t>
      </w:r>
      <w:r>
        <w:t xml:space="preserve"> </w:t>
      </w:r>
      <w:r>
        <w:t xml:space="preserve">[16] Tech Times. (2026, June 18). Military AI governance enters enforcement phase: UNIDIR opens Geneva forum today. Tech Times. https://www.techtimes.com/articles/318661/20260618/military-ai-governance-enters-enforcement-phase-unidir-opens-geneva-forum-today.htm</w:t>
      </w:r>
      <w:r>
        <w:t xml:space="preserve"> </w:t>
      </w:r>
      <w:r>
        <w:t xml:space="preserve">[17] UNIDIR. (2026, June 17). UNIDIR Centre of Excellence on AI, Peace and Security. UNIDIR. https://unidir.org/unidir-centre-of-excellence-on-ai-peace-and-security/</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8"/>
    <w:bookmarkEnd w:id="19"/>
    <w:bookmarkStart w:id="23" w:name="society-livelihood"/>
    <w:p>
      <w:pPr>
        <w:pStyle w:val="Heading2"/>
      </w:pPr>
      <w:r>
        <w:t xml:space="preserve">4. Society &amp; Livelihood</w:t>
      </w:r>
    </w:p>
    <w:bookmarkStart w:id="20" w:name="X7b1934edf078d2191edbccb36862d2307a82099"/>
    <w:p>
      <w:pPr>
        <w:pStyle w:val="Heading3"/>
      </w:pPr>
      <w:r>
        <w:t xml:space="preserve">Spain braces for first major heatwave of summer, highs of 45°C in the south</w:t>
      </w:r>
    </w:p>
    <w:p>
      <w:pPr>
        <w:pStyle w:val="FirstParagraph"/>
      </w:pPr>
      <w:r>
        <w:t xml:space="preserve">Spain was bracing on 19 June 2026 for its first major heatwave of the summer, with temperatures forecast to reach up to 45°C across southern and central regions including Andalusia and Extremadura. The peak is expected from Monday 22 June through Tuesday 23 June, with Galicia, the Ebro valley and the Guadalquivir basin among the areas in the firing line.</w:t>
      </w:r>
    </w:p>
    <w:p>
      <w:pPr>
        <w:pStyle w:val="BodyText"/>
      </w:pPr>
      <w:r>
        <w:t xml:space="preserve">Meteorologist José Antonio Maldonado described the event as</w:t>
      </w:r>
      <w:r>
        <w:t xml:space="preserve"> </w:t>
      </w:r>
      <w:r>
        <w:t xml:space="preserve">“extreme heat.”</w:t>
      </w:r>
      <w:r>
        <w:t xml:space="preserve"> </w:t>
      </w:r>
      <w:r>
        <w:t xml:space="preserve">Spain’s state meteorological agency AEMET issued heatwave alerts for multiple provinces. Early-season heat of this intensity raises the risk of wildfires and heat-related deaths, both of which have climbed across the Iberian peninsula in recent summers.</w:t>
      </w:r>
    </w:p>
    <w:p>
      <w:pPr>
        <w:pStyle w:val="BodyText"/>
      </w:pPr>
      <w:r>
        <w:rPr>
          <w:b/>
          <w:bCs/>
        </w:rPr>
        <w:t xml:space="preserve">References</w:t>
      </w:r>
    </w:p>
    <w:p>
      <w:pPr>
        <w:pStyle w:val="BodyText"/>
      </w:pPr>
      <w:r>
        <w:t xml:space="preserve">[18] Euronews. (2026, June 19). Spain faces first major heatwave of 2026: highs of 45°C expected in the south. Euronews. https://www.euronews.com/green/2026/06/19/spain-faces-first-major-heatwave-of-2026-highs-of-45c-expected-in-the-south</w:t>
      </w:r>
    </w:p>
    <w:p>
      <w:r>
        <w:pict>
          <v:rect style="width:0;height:1.5pt" o:hralign="center" o:hrstd="t" o:hr="t"/>
        </w:pict>
      </w:r>
    </w:p>
    <w:bookmarkEnd w:id="20"/>
    <w:bookmarkStart w:id="21" w:name="Xf42861f877ccd8f389dbb6cd3975d1b7c9fc914"/>
    <w:p>
      <w:pPr>
        <w:pStyle w:val="Heading3"/>
      </w:pPr>
      <w:r>
        <w:t xml:space="preserve">El Niño raises wildfire fears in Portugal as climatologists warn of</w:t>
      </w:r>
      <w:r>
        <w:t xml:space="preserve"> </w:t>
      </w:r>
      <w:r>
        <w:t xml:space="preserve">“explosive cocktail”</w:t>
      </w:r>
    </w:p>
    <w:p>
      <w:pPr>
        <w:pStyle w:val="FirstParagraph"/>
      </w:pPr>
      <w:r>
        <w:t xml:space="preserve">Climatologists in Portugal warned on 19 June 2026 of an elevated wildfire risk this summer, with El Niño compounding drought and heat. Carlos da Camara, climatologist at the Portuguese Institute for Sea and Atmosphere (IPMA), called the combination an</w:t>
      </w:r>
      <w:r>
        <w:t xml:space="preserve"> </w:t>
      </w:r>
      <w:r>
        <w:t xml:space="preserve">“explosive cocktail.”</w:t>
      </w:r>
      <w:r>
        <w:t xml:space="preserve"> </w:t>
      </w:r>
      <w:r>
        <w:t xml:space="preserve">The World Meteorological Organisation has assessed an 80-90% probability of continued El Niño conditions through summer 2026, and IPMA forecasts temperatures exceeding 40°C inland.</w:t>
      </w:r>
    </w:p>
    <w:p>
      <w:pPr>
        <w:pStyle w:val="BodyText"/>
      </w:pPr>
      <w:r>
        <w:t xml:space="preserve">The warning carries weight because of 2017, when fires centred on Pedrógão Grande killed dozens — 47 of them on a single rural road as flames overtook people in their cars — in one of the deadliest wildfire seasons in Portuguese history. That disaster, driven by the same mix of heat, drought and heavy fuel loads, reshaped the country’s civil-protection and forestry policies and remains the benchmark against which every fire season is now judged.</w:t>
      </w:r>
    </w:p>
    <w:p>
      <w:pPr>
        <w:pStyle w:val="BodyText"/>
      </w:pPr>
      <w:r>
        <w:rPr>
          <w:b/>
          <w:bCs/>
        </w:rPr>
        <w:t xml:space="preserve">References</w:t>
      </w:r>
    </w:p>
    <w:p>
      <w:pPr>
        <w:pStyle w:val="BodyText"/>
      </w:pPr>
      <w:r>
        <w:t xml:space="preserve">[19] Euronews. (2026, June 19). El Niño raises wildfire fears in Portugal as summer approaches. Euronews. https://www.euronews.com/green/2026/06/19/el-nino-raises-wildfire-fears-in-portugal-as-summer-approaches</w:t>
      </w:r>
      <w:r>
        <w:t xml:space="preserve"> </w:t>
      </w:r>
      <w:r>
        <w:t xml:space="preserve">[20] Wikipedia. (2017, June 17). June 2017 Portugal wildfires. Wikipedia. https://en.wikipedia.org/wiki/June_2017_Portugal_wildfires</w:t>
      </w:r>
    </w:p>
    <w:p>
      <w:r>
        <w:pict>
          <v:rect style="width:0;height:1.5pt" o:hralign="center" o:hrstd="t" o:hr="t"/>
        </w:pict>
      </w:r>
    </w:p>
    <w:bookmarkEnd w:id="21"/>
    <w:bookmarkStart w:id="22" w:name="Xa8a0ce0525e8785fa78bad83a27b0ab9603927e"/>
    <w:p>
      <w:pPr>
        <w:pStyle w:val="Heading3"/>
      </w:pPr>
      <w:r>
        <w:t xml:space="preserve">Europe debates banning social media for teens as data shows girls hit hardest</w:t>
      </w:r>
    </w:p>
    <w:p>
      <w:pPr>
        <w:pStyle w:val="FirstParagraph"/>
      </w:pPr>
      <w:r>
        <w:t xml:space="preserve">Problematic adolescent social media use across Europe rose from 7% in 2018 to 11% in 2022, with girls bearing the brunt, according to survey data — drawn from the WHO-backed Health Behaviour in School-aged Children study — that underpins a wave of legislative moves now sweeping the continent. Romania recorded the highest rates, at 28% of girls and 18% of boys, followed by Ireland at 25% of girls and 13% of boys. Girls reported round-the-clock online contact at 44% versus 29% for boys.</w:t>
      </w:r>
    </w:p>
    <w:p>
      <w:pPr>
        <w:pStyle w:val="BodyText"/>
      </w:pPr>
      <w:r>
        <w:t xml:space="preserve">The political response is hardening. France’s National Assembly approved legislation restricting social media for under-15s, Spain proposed raising the minimum age to 16, and Greece’s prime minister announced an under-15 ban pending a summer 2026 vote. Public backing for such restrictions is broad: 79% in France, 76% in the UK, 74% in Germany, 70% in Italy, 68% in Spain and 53% in Poland. Many of the proposals hinge on age-verification systems that have yet to be built and may collide with EU-wide rules limiting how governments can force apps such as TikTok and Instagram to block younger users.</w:t>
      </w:r>
    </w:p>
    <w:p>
      <w:pPr>
        <w:pStyle w:val="BodyText"/>
      </w:pPr>
      <w:r>
        <w:rPr>
          <w:b/>
          <w:bCs/>
        </w:rPr>
        <w:t xml:space="preserve">References</w:t>
      </w:r>
    </w:p>
    <w:p>
      <w:pPr>
        <w:pStyle w:val="BodyText"/>
      </w:pPr>
      <w:r>
        <w:t xml:space="preserve">[21] Euronews. (2026, June 19). Europe looks at banning social media for teens, and girls are most impacted. Euronews. https://www.euronews.com/my-europe/2026/06/19/europe-looks-at-banning-social-media-for-teens-and-girls-are-most-impacted</w:t>
      </w:r>
      <w:r>
        <w:t xml:space="preserve"> </w:t>
      </w:r>
      <w:r>
        <w:t xml:space="preserve">[22] ALM Corp. (2026, June 19). EU teen social media ban: France, Greece, Spain, age verification and what happens next. ALM Corp. https://almcorp.com/blog/eu-teen-social-media-ban-explained/</w:t>
      </w:r>
    </w:p>
    <w:p>
      <w:r>
        <w:pict>
          <v:rect style="width:0;height:1.5pt" o:hralign="center" o:hrstd="t" o:hr="t"/>
        </w:pict>
      </w:r>
    </w:p>
    <w:bookmarkEnd w:id="22"/>
    <w:bookmarkEnd w:id="23"/>
    <w:bookmarkStart w:id="24" w:name="corporate-ipo-ma"/>
    <w:p>
      <w:pPr>
        <w:pStyle w:val="Heading2"/>
      </w:pPr>
      <w:r>
        <w:t xml:space="preserve">5. Corporate IPO &amp; M&amp;A</w:t>
      </w:r>
    </w:p>
    <w:p>
      <w:r>
        <w:pict>
          <v:rect style="width:0;height:1.5pt" o:hralign="center" o:hrstd="t" o:hr="t"/>
        </w:pict>
      </w:r>
    </w:p>
    <w:p>
      <w:pPr>
        <w:pStyle w:val="FirstParagraph"/>
      </w:pPr>
      <w:r>
        <w:rPr>
          <w:i/>
          <w:iCs/>
        </w:rPr>
        <w:t xml:space="preserve">Note: only 0 stories met T1-T4 standards for this category today.</w:t>
      </w:r>
    </w:p>
    <w:p>
      <w:r>
        <w:pict>
          <v:rect style="width:0;height:1.5pt" o:hralign="center" o:hrstd="t" o:hr="t"/>
        </w:pict>
      </w:r>
    </w:p>
    <w:bookmarkEnd w:id="24"/>
    <w:bookmarkStart w:id="26" w:name="other-notable-events"/>
    <w:p>
      <w:pPr>
        <w:pStyle w:val="Heading2"/>
      </w:pPr>
      <w:r>
        <w:t xml:space="preserve">6. Other Notable Events</w:t>
      </w:r>
    </w:p>
    <w:bookmarkStart w:id="25" w:name="Xc9e65c1734b321df61209acb259f8f32f7f68f6"/>
    <w:p>
      <w:pPr>
        <w:pStyle w:val="Heading3"/>
      </w:pPr>
      <w:r>
        <w:t xml:space="preserve">Campaign report accuses Germany, Poland, Romania of locking EU into gas dependency</w:t>
      </w:r>
    </w:p>
    <w:p>
      <w:pPr>
        <w:pStyle w:val="FirstParagraph"/>
      </w:pPr>
      <w:r>
        <w:t xml:space="preserve">A report titled</w:t>
      </w:r>
      <w:r>
        <w:t xml:space="preserve"> </w:t>
      </w:r>
      <w:r>
        <w:t xml:space="preserve">“Merchants of Crisis,”</w:t>
      </w:r>
      <w:r>
        <w:t xml:space="preserve"> </w:t>
      </w:r>
      <w:r>
        <w:t xml:space="preserve">published 19 June 2026 by the campaign group Beyond Fossil Fuels, accuses Germany, Poland and Romania of locking the EU into fossil fuels through near-60 gigawatts of new gas-plant capacity. Those plants would burn roughly 28 billion cubic metres of gas a year — about 9% of the EU’s projected gas imports, or the annual consumption of 46.4 million households.</w:t>
      </w:r>
    </w:p>
    <w:p>
      <w:pPr>
        <w:pStyle w:val="BodyText"/>
      </w:pPr>
      <w:r>
        <w:t xml:space="preserve">The timing sharpens the argument. European natural gas prices have risen 60% since the outbreak of the Iran war, and EU gas storage stood at roughly 46 bcm in February 2026, down from 60 bcm a year earlier. The report details national pipelines of new capacity: Germany is adding 12 GW by 2031, 10 GW of it hydrogen-ready; Romania’s Mintia plant is due online in 2026, alongside the €4 billion Neptun Deep Black Sea project set to double output from 2027; and Poland has restricted capacity auctions to gas.</w:t>
      </w:r>
    </w:p>
    <w:p>
      <w:pPr>
        <w:pStyle w:val="BodyText"/>
      </w:pPr>
      <w:r>
        <w:t xml:space="preserve">“Building more gas plants will not protect people in Europe from future energy crises — it will deepen our dependence on volatile fossil fuel imports,”</w:t>
      </w:r>
      <w:r>
        <w:t xml:space="preserve"> </w:t>
      </w:r>
      <w:r>
        <w:t xml:space="preserve">said Beyond Fossil Fuels campaigner Juliet Phillips.</w:t>
      </w:r>
    </w:p>
    <w:p>
      <w:pPr>
        <w:pStyle w:val="BodyText"/>
      </w:pPr>
      <w:r>
        <w:rPr>
          <w:b/>
          <w:bCs/>
        </w:rPr>
        <w:t xml:space="preserve">References</w:t>
      </w:r>
    </w:p>
    <w:p>
      <w:pPr>
        <w:pStyle w:val="BodyText"/>
      </w:pPr>
      <w:r>
        <w:t xml:space="preserve">[23] Euronews. (2026, June 19). Gas expansion in the guise of security: is Europe making the energy crisis permanent? Euronews. https://www.euronews.com/2026/06/19/gas-expansion-in-the-guise-of-security-is-europe-making-the-energy-crisis-permanent</w:t>
      </w:r>
      <w:r>
        <w:t xml:space="preserve"> </w:t>
      </w:r>
      <w:r>
        <w:t xml:space="preserve">[24] Beyond Fossil Fuels. (2025, August 5). Gas Plant Profile: Mintia, Romania. Beyond Fossil Fuels. https://beyondfossilfuels.org/2025/08/05/gas-plant-profile-mintia-romania/</w:t>
      </w:r>
    </w:p>
    <w:p>
      <w:r>
        <w:pict>
          <v:rect style="width:0;height:1.5pt" o:hralign="center" o:hrstd="t" o:hr="t"/>
        </w:pict>
      </w:r>
    </w:p>
    <w:p>
      <w:pPr>
        <w:pStyle w:val="FirstParagraph"/>
      </w:pPr>
      <w:r>
        <w:rPr>
          <w:i/>
          <w:iCs/>
        </w:rPr>
        <w:t xml:space="preserve">Note: only 1 story met T1-T4 standards for this category today.</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2026-06-19T13:11:55Z</dcterms:created>
  <dcterms:modified xsi:type="dcterms:W3CDTF">2026-06-19T13:11:55Z</dcterms:modified>
</cp:coreProperties>
</file>

<file path=docProps/custom.xml><?xml version="1.0" encoding="utf-8"?>
<Properties xmlns="http://schemas.openxmlformats.org/officeDocument/2006/custom-properties" xmlns:vt="http://schemas.openxmlformats.org/officeDocument/2006/docPropsVTypes"/>
</file>