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欧洲每日热点新闻-2026年6月10日"/>
    <w:p>
      <w:pPr>
        <w:pStyle w:val="Heading1"/>
      </w:pPr>
      <w:r>
        <w:rPr>
          <w:rFonts w:hint="eastAsia"/>
        </w:rPr>
        <w:t xml:space="preserve">欧洲每日热点新闻</w:t>
      </w:r>
      <w:r>
        <w:t xml:space="preserve"> — </w:t>
      </w:r>
      <w:r>
        <w:rPr>
          <w:rFonts w:hint="eastAsia"/>
        </w:rPr>
        <w:t xml:space="preserve">2026年6月10日</w:t>
      </w:r>
    </w:p>
    <w:bookmarkStart w:id="12" w:name="一经济与市场"/>
    <w:p>
      <w:pPr>
        <w:pStyle w:val="Heading2"/>
      </w:pPr>
      <w:r>
        <w:rPr>
          <w:rFonts w:hint="eastAsia"/>
        </w:rPr>
        <w:t xml:space="preserve">一、经济与市场</w:t>
      </w:r>
    </w:p>
    <w:bookmarkStart w:id="9" w:name="ecb货币政策会议开启市场押注加息25基点至2.25"/>
    <w:p>
      <w:pPr>
        <w:pStyle w:val="Heading3"/>
      </w:pPr>
      <w:r>
        <w:rPr>
          <w:rFonts w:hint="eastAsia"/>
        </w:rPr>
        <w:t xml:space="preserve">ECB货币政策会议开启，市场押注加息25基点至2.25%</w:t>
      </w:r>
    </w:p>
    <w:p>
      <w:pPr>
        <w:pStyle w:val="FirstParagraph"/>
      </w:pPr>
      <w:r>
        <w:rPr>
          <w:rFonts w:hint="eastAsia"/>
        </w:rPr>
        <w:t xml:space="preserve">欧洲央行(ECB)管理委员会6月10日在法兰克福启动为期两天的货币政策会议，市场对6月11日的利率决议押注高度集中。衍生品与预测市场显示，存款便利利率自2.00%上调25个基点至2.25%的概率达99.6%至100%。ING将此结果定性为“已成定局”(a</w:t>
      </w:r>
      <w:r>
        <w:t xml:space="preserve"> done </w:t>
      </w:r>
      <w:r>
        <w:rPr>
          <w:rFonts w:hint="eastAsia"/>
        </w:rPr>
        <w:t xml:space="preserve">deal)，但强调6月之后的路径仍存不确定性。UniCredit预计克里斯蒂娜·拉加德(Christine</w:t>
      </w:r>
      <w:r>
        <w:t xml:space="preserve"> </w:t>
      </w:r>
      <w:r>
        <w:rPr>
          <w:rFonts w:hint="eastAsia"/>
        </w:rPr>
        <w:t xml:space="preserve">Lagarde)“将提供极为有限的前瞻指引”。</w:t>
      </w:r>
    </w:p>
    <w:p>
      <w:pPr>
        <w:pStyle w:val="BodyText"/>
      </w:pPr>
      <w:r>
        <w:rPr>
          <w:rFonts w:hint="eastAsia"/>
        </w:rPr>
        <w:t xml:space="preserve">加息背景是欧元区通胀超预期反弹。5月调和CPI同比升至3.2%，为2023年9月以来最高，4月为3.0%；能源价格因中东冲突供应受阻同比飙升10.9%，创2023年2月以来最大涨幅。剔除能源与食品的核心CPI从2.2%升至2.5%，服务业通胀从3.0%加速至3.5%。三个月年化口径下，整体通胀已达9.6%，核心通胀达8.0%。与此形成反差的是增长疲弱：欧元区一季度GDP环比下降0.2%。</w:t>
      </w:r>
    </w:p>
    <w:p>
      <w:pPr>
        <w:pStyle w:val="BodyText"/>
      </w:pPr>
      <w:r>
        <w:rPr>
          <w:rFonts w:hint="eastAsia"/>
        </w:rPr>
        <w:t xml:space="preserve">ECB管理委员会4月30日维持利率在2.00%时的会议纪要显示，多数委员认为该决定“势均力敌”，部分成员当时已倾向加息。FXStreet援引委员会成员表态：“我们已无法对这一冲击视而不见，通胀预期脱锚的风险正在上升。”富国银行预计政策信息将呈现“压制需求的鹰派指引”。市场预计本轮加息周期最多三次，存款利率到2026年末可能升至2.75%。ECB工作人员经济预测亦将同步上修：2026年通胀预期从3月份的2.6%上调至约3.0%，GDP增速从0.9%下调至约0.6%。</w:t>
      </w:r>
    </w:p>
    <w:p>
      <w:pPr>
        <w:pStyle w:val="BodyText"/>
      </w:pPr>
      <w:r>
        <w:rPr>
          <w:b/>
          <w:bCs/>
        </w:rPr>
        <w:t xml:space="preserve">References</w:t>
      </w:r>
    </w:p>
    <w:p>
      <w:pPr>
        <w:pStyle w:val="BodyText"/>
      </w:pPr>
      <w:r>
        <w:t xml:space="preserve">[1] FinancialJuice. (2026, June 9). ECB interest rate prep. https://features.financialjuice.com/2026/06/09/ecb-interest-rate-prep-20/</w:t>
      </w:r>
    </w:p>
    <w:p>
      <w:pPr>
        <w:pStyle w:val="BodyText"/>
      </w:pPr>
      <w:r>
        <w:t xml:space="preserve">[2] FXStreet. (2026, June 4). ECB preview: And so, the hiking begins. https://www.fxstreet.com/analysis/ecb-preview-and-so-the-hiking-begins-202606040413</w:t>
      </w:r>
    </w:p>
    <w:p>
      <w:pPr>
        <w:pStyle w:val="BodyText"/>
      </w:pPr>
      <w:r>
        <w:t xml:space="preserve">[3] European Central Bank. (2026). Governing Council calendar. https://www.ecb.europa.eu/press/calendars/mgcgc/html/index.en.html</w:t>
      </w:r>
    </w:p>
    <w:p>
      <w:pPr>
        <w:pStyle w:val="BodyText"/>
      </w:pPr>
      <w:r>
        <w:t xml:space="preserve">[4] ECB Watch. (2026). ECB Watch. https://ecb-watch.eu/</w:t>
      </w:r>
    </w:p>
    <w:p>
      <w:pPr>
        <w:pStyle w:val="BodyText"/>
      </w:pPr>
      <w:r>
        <w:t xml:space="preserve">[5] ING Think. (2026). A rate hike and then what? Our ECB preview. https://think.ing.com/articles/a-rate-hike-and-then-what-our-ecb-preview/</w:t>
      </w:r>
    </w:p>
    <w:p>
      <w:r>
        <w:pict>
          <v:rect style="width:0;height:1.5pt" o:hralign="center" o:hrstd="t" o:hr="t"/>
        </w:pict>
      </w:r>
    </w:p>
    <w:bookmarkEnd w:id="9"/>
    <w:bookmarkStart w:id="10" w:name="西班牙住房负担创历史新高购房需8.4年全额工资"/>
    <w:p>
      <w:pPr>
        <w:pStyle w:val="Heading3"/>
      </w:pPr>
      <w:r>
        <w:rPr>
          <w:rFonts w:hint="eastAsia"/>
        </w:rPr>
        <w:t xml:space="preserve">西班牙住房负担创历史新高，购房需8.4年全额工资</w:t>
      </w:r>
    </w:p>
    <w:p>
      <w:pPr>
        <w:pStyle w:val="FirstParagraph"/>
      </w:pPr>
      <w:r>
        <w:rPr>
          <w:rFonts w:hint="eastAsia"/>
        </w:rPr>
        <w:t xml:space="preserve">Fotocasa与InfoJobs联合研究6月10日发布的数据显示，2025年西班牙工薪族购买一套80平方米的二手房需要8.4年全额税前工资，较2024年的7.1年恶化16个月。同年二手房价格上涨20.5%，平均价升至每平方米2879欧元(€2,879</w:t>
      </w:r>
      <w:r>
        <w:t xml:space="preserve"> per square </w:t>
      </w:r>
      <w:r>
        <w:rPr>
          <w:rFonts w:hint="eastAsia"/>
        </w:rPr>
        <w:t xml:space="preserve">metre)，而招聘薪资仅上涨1%。Fotocasa研究主管玛丽亚·马托斯(María</w:t>
      </w:r>
      <w:r>
        <w:t xml:space="preserve"> </w:t>
      </w:r>
      <w:r>
        <w:rPr>
          <w:rFonts w:hint="eastAsia"/>
        </w:rPr>
        <w:t xml:space="preserve">Matos)表示：“西班牙正经历有史以来最严重的住房负担危机。”InfoJobs总监莫妮卡·佩雷斯(Mónica</w:t>
      </w:r>
      <w:r>
        <w:t xml:space="preserve"> </w:t>
      </w:r>
      <w:r>
        <w:rPr>
          <w:rFonts w:hint="eastAsia"/>
        </w:rPr>
        <w:t xml:space="preserve">Pérez)指出：“2025年录得的1%涨幅，远远跟不上房价的上行。”</w:t>
      </w:r>
    </w:p>
    <w:p>
      <w:pPr>
        <w:pStyle w:val="BodyText"/>
      </w:pPr>
      <w:r>
        <w:rPr>
          <w:rFonts w:hint="eastAsia"/>
        </w:rPr>
        <w:t xml:space="preserve">地区分化触目惊心。巴利阿里群岛购房成本相当于15.1年工资，马德里15年(一年内恶化34个月)，马拉加12.9年，吉普斯夸11.7年，特内里费11.3年，巴塞罗那10.2年。西班牙全国52个省份中，仅17个省份5年以下工资可负担一套住房；最便宜的哈恩省为3年。这份基于Fotocasa挂牌数据库与InfoJobs薪资调查的报告同日发布，正值欧委会住房工作组在布鲁塞尔召开市政住房生态系统研讨会，议题高度呼应。</w:t>
      </w:r>
    </w:p>
    <w:p>
      <w:pPr>
        <w:pStyle w:val="BodyText"/>
      </w:pPr>
      <w:r>
        <w:rPr>
          <w:b/>
          <w:bCs/>
        </w:rPr>
        <w:t xml:space="preserve">References</w:t>
      </w:r>
    </w:p>
    <w:p>
      <w:pPr>
        <w:pStyle w:val="BodyText"/>
      </w:pPr>
      <w:r>
        <w:t xml:space="preserve">[6] Euronews. (2026, June 10). Buying a home in Spain now requires over 8 years of full salary. https://www.euronews.com/business/2026/06/10/buying-a-home-in-spain-now-requires-over-8-years-of-full-salary</w:t>
      </w:r>
    </w:p>
    <w:p>
      <w:r>
        <w:pict>
          <v:rect style="width:0;height:1.5pt" o:hralign="center" o:hrstd="t" o:hr="t"/>
        </w:pict>
      </w:r>
    </w:p>
    <w:bookmarkEnd w:id="10"/>
    <w:bookmarkStart w:id="11" w:name="欧元区10年期国债收益率升至3.43定价反映加息预期"/>
    <w:p>
      <w:pPr>
        <w:pStyle w:val="Heading3"/>
      </w:pPr>
      <w:r>
        <w:rPr>
          <w:rFonts w:hint="eastAsia"/>
        </w:rPr>
        <w:t xml:space="preserve">欧元区10年期国债收益率升至3.43%，定价反映加息预期</w:t>
      </w:r>
    </w:p>
    <w:p>
      <w:pPr>
        <w:pStyle w:val="FirstParagraph"/>
      </w:pPr>
      <w:r>
        <w:rPr>
          <w:rFonts w:hint="eastAsia"/>
        </w:rPr>
        <w:t xml:space="preserve">欧元区AAA级10年期国债收益率6月8日至10日报3.43%，较上一交易日上行0.01个百分点，较一个月前上行0.07个百分点，较一年前累计上行0.35个百分点。收益率走势直接反映了市场对6月11日ECB加息25基点的高度一致定价。</w:t>
      </w:r>
    </w:p>
    <w:p>
      <w:pPr>
        <w:pStyle w:val="BodyText"/>
      </w:pPr>
      <w:r>
        <w:rPr>
          <w:rFonts w:hint="eastAsia"/>
        </w:rPr>
        <w:t xml:space="preserve">通胀数据是收益率上行的核心驱动。5月整体CPI同比3.2%，能源价格涨10.9%；核心CPI升至2.5%，服务业通胀至3.5%，非能源工业品0.9%(前值0.8%)，食品烟酒类2.0%(前值2.4%)。增长侧则呈“滞胀”色彩——一季度GDP环比下降0.2%，同比增1.0%；4月欧盟失业率6.0%。欧委会5月21日发布的春季预测将欧盟2026年通胀上修1.0个百分点至3.1%，将GDP增速下修0.3个百分点至1.1%。欧盟成员国合计承诺145亿欧元(占欧盟GDP的0.07%)的财政支持，应对能源冲击。ECB存款利率自4月30日以来维持在2.00%。</w:t>
      </w:r>
    </w:p>
    <w:p>
      <w:pPr>
        <w:pStyle w:val="BodyText"/>
      </w:pPr>
      <w:r>
        <w:rPr>
          <w:b/>
          <w:bCs/>
        </w:rPr>
        <w:t xml:space="preserve">References</w:t>
      </w:r>
    </w:p>
    <w:p>
      <w:pPr>
        <w:pStyle w:val="BodyText"/>
      </w:pPr>
      <w:r>
        <w:t xml:space="preserve">[7] Trading Economics. (2026). Euro area government bond yield. https://tradingeconomics.com/euro-area/government-bond-yield</w:t>
      </w:r>
    </w:p>
    <w:p>
      <w:pPr>
        <w:pStyle w:val="BodyText"/>
      </w:pPr>
      <w:r>
        <w:t xml:space="preserve">[8] European Central Bank. (2026). ECB data portal: Yield curves. https://data.ecb.europa.eu/data/datasets/YC</w:t>
      </w:r>
    </w:p>
    <w:p>
      <w:pPr>
        <w:pStyle w:val="BodyText"/>
      </w:pPr>
      <w:r>
        <w:t xml:space="preserve">[9] European Central Bank. (2026, April 30). Monetary policy decisions. https://www.ecb.europa.eu/press/pr/date/2026/html/ecb.mp260430~81b7179e6f.en.html</w:t>
      </w:r>
    </w:p>
    <w:p>
      <w:r>
        <w:pict>
          <v:rect style="width:0;height:1.5pt" o:hralign="center" o:hrstd="t" o:hr="t"/>
        </w:pict>
      </w:r>
    </w:p>
    <w:bookmarkEnd w:id="11"/>
    <w:bookmarkEnd w:id="12"/>
    <w:bookmarkStart w:id="16" w:name="二政治与外交"/>
    <w:p>
      <w:pPr>
        <w:pStyle w:val="Heading2"/>
      </w:pPr>
      <w:r>
        <w:rPr>
          <w:rFonts w:hint="eastAsia"/>
        </w:rPr>
        <w:t xml:space="preserve">二、政治与外交</w:t>
      </w:r>
    </w:p>
    <w:bookmarkStart w:id="13" w:name="第11届欧盟韩国峰会签署数字贸易协定启动竞争力联盟"/>
    <w:p>
      <w:pPr>
        <w:pStyle w:val="Heading3"/>
      </w:pPr>
      <w:r>
        <w:rPr>
          <w:rFonts w:hint="eastAsia"/>
        </w:rPr>
        <w:t xml:space="preserve">第11届欧盟—韩国峰会签署数字贸易协定，启动竞争力联盟</w:t>
      </w:r>
    </w:p>
    <w:p>
      <w:pPr>
        <w:pStyle w:val="FirstParagraph"/>
      </w:pPr>
      <w:r>
        <w:rPr>
          <w:rFonts w:hint="eastAsia"/>
        </w:rPr>
        <w:t xml:space="preserve">欧盟与韩国6月10日在布鲁塞尔举行第11届双边峰会，欧洲理事会主席安东尼奥·科斯塔(António</w:t>
      </w:r>
      <w:r>
        <w:t xml:space="preserve"> </w:t>
      </w:r>
      <w:r>
        <w:rPr>
          <w:rFonts w:hint="eastAsia"/>
        </w:rPr>
        <w:t xml:space="preserve">Costa)、欧委会主席乌尔苏拉·冯德莱恩(Ursula</w:t>
      </w:r>
      <w:r>
        <w:t xml:space="preserve"> von der </w:t>
      </w:r>
      <w:r>
        <w:rPr>
          <w:rFonts w:hint="eastAsia"/>
        </w:rPr>
        <w:t xml:space="preserve">Leyen)与韩国总统李在明会晤，达成三项重要成果。其一，正式签署2026年4月已敲定文本的欧盟—韩国数字贸易协定(DTA)，确立数据流动、电子合同、数字签名、消费者保护与在线贸易领域的具有约束力的规则。其二，启动“欧盟—韩国竞争力联盟”，建立关键原材料、供应链韧性、半导体供应安全与AI领域的战略合作框架——欧盟成员国已于6月3日授权欧委会就该工具展开谈判。其三，就“信息安全协定”启动谈判，在2024年11月双方安全与防务伙伴关系基础上推进机密信息交换与行动协作。</w:t>
      </w:r>
    </w:p>
    <w:p>
      <w:pPr>
        <w:pStyle w:val="BodyText"/>
      </w:pPr>
      <w:r>
        <w:rPr>
          <w:rFonts w:hint="eastAsia"/>
        </w:rPr>
        <w:t xml:space="preserve">峰会议程紧凑：14:00抵达，14:15全体会议，15:30限定级会议，16:15签字仪式，约16:40发表公开声明。双方在支持乌克兰立场及监测朝鲜半岛局势(包括中国与朝鲜的接触)上保持一致。2025年欧盟与韩国双边货物贸易额1240亿欧元，其中欧盟对韩出口545亿欧元，自韩进口697亿欧元。韩国是欧盟第三大贸易伙伴，占韩国对外贸易总额10%；欧盟是韩国第八大贸易伙伴。</w:t>
      </w:r>
    </w:p>
    <w:p>
      <w:pPr>
        <w:pStyle w:val="BodyText"/>
      </w:pPr>
      <w:r>
        <w:rPr>
          <w:b/>
          <w:bCs/>
        </w:rPr>
        <w:t xml:space="preserve">References</w:t>
      </w:r>
    </w:p>
    <w:p>
      <w:pPr>
        <w:pStyle w:val="BodyText"/>
      </w:pPr>
      <w:r>
        <w:t xml:space="preserve">[10] Agence Europe. (2026, June 10). During 11th bilateral summit, EU and South Korea aim to strengthen security partnership and modernise free trade agreement. https://agenceurope.eu/en/bulletin/article/13884/20/during-11th-bilateral-summit-eu-and-south-korea-aim-to-strengthen-security-partnership-and-modernise-free-trade-agreement</w:t>
      </w:r>
    </w:p>
    <w:p>
      <w:pPr>
        <w:pStyle w:val="BodyText"/>
      </w:pPr>
      <w:r>
        <w:t xml:space="preserve">[11] Council of the European Union. (2026, June 10). EU–Republic of Korea summit. https://www.consilium.europa.eu/en/meetings/international-summit/2026/06/10/</w:t>
      </w:r>
    </w:p>
    <w:p>
      <w:pPr>
        <w:pStyle w:val="BodyText"/>
      </w:pPr>
      <w:r>
        <w:t xml:space="preserve">[12] European External Action Service. (2026). EU–Republic of Korea summit: Working together to promote peace, security and stability. https://www.eeas.europa.eu/eeas/eu-republic-korea-summit-working-together-promote-peace-security-and-stability_en</w:t>
      </w:r>
    </w:p>
    <w:p>
      <w:pPr>
        <w:pStyle w:val="BodyText"/>
      </w:pPr>
      <w:r>
        <w:t xml:space="preserve">[13] Brussels Times. (2026). Brussels summit set to highlight EU–South Korea’s growing trade, security links. https://www.brusselstimes.com/2174915/brussels-summit-set-to-highlight-eu-south-koreas-growing-trade-security-links</w:t>
      </w:r>
    </w:p>
    <w:p>
      <w:r>
        <w:pict>
          <v:rect style="width:0;height:1.5pt" o:hralign="center" o:hrstd="t" o:hr="t"/>
        </w:pict>
      </w:r>
    </w:p>
    <w:bookmarkEnd w:id="13"/>
    <w:bookmarkStart w:id="14" w:name="人权观察严词批评欧盟移民与庇护公约称其在6月12日全面生效前将尊严拒之门外"/>
    <w:p>
      <w:pPr>
        <w:pStyle w:val="Heading3"/>
      </w:pPr>
      <w:r>
        <w:rPr>
          <w:rFonts w:hint="eastAsia"/>
        </w:rPr>
        <w:t xml:space="preserve">人权观察严词批评欧盟移民与庇护公约，称其在6月12日全面生效前“将尊严拒之门外”</w:t>
      </w:r>
    </w:p>
    <w:p>
      <w:pPr>
        <w:pStyle w:val="FirstParagraph"/>
      </w:pPr>
      <w:r>
        <w:rPr>
          <w:rFonts w:hint="eastAsia"/>
        </w:rPr>
        <w:t xml:space="preserve">人权观察(HRW)6月10日凌晨发布声明，距欧盟《移民与庇护公约》6月12日全面生效仅两天。HRW难民与移民权利高级顾问朱迪丝·桑德兰(Judith</w:t>
      </w:r>
      <w:r>
        <w:t xml:space="preserve"> </w:t>
      </w:r>
      <w:r>
        <w:rPr>
          <w:rFonts w:hint="eastAsia"/>
        </w:rPr>
        <w:t xml:space="preserve">Sunderland)表示：“欧盟新庇护公约将值得有尊严对待的人拒之门外。”该公约2024年通过，由10项具有约束力的立法行为构成，全面改革欧盟边境管理、庇护处理流程和成员国责任分担机制。</w:t>
      </w:r>
    </w:p>
    <w:p>
      <w:pPr>
        <w:pStyle w:val="BodyText"/>
      </w:pPr>
      <w:r>
        <w:rPr>
          <w:rFonts w:hint="eastAsia"/>
        </w:rPr>
        <w:t xml:space="preserve">HRW列出五大隐忧：一是“边境程序”加速庇护决定但削减保障措施；二是允许成员国在“大规模流入”或“工具化”情形下拒绝庇护；三是允许将申请人转移至欧盟以外的“安全第三国”；四是新设“团结机制”允许成员国以出资支持边境安保替代实际安置；五是扩大羁押适用范围与时长。截至4月中旬，仅11个成员国如期接入新的Eurodac生物特征数据库；塞浦路斯、希腊、匈牙利、爱沙尼亚、拉脱维亚、意大利尚未在行政阶段提供免费法律咨询；比利时、匈牙利、意大利、马耳他尚未完成基本权利监督机制安排。</w:t>
      </w:r>
    </w:p>
    <w:p>
      <w:pPr>
        <w:pStyle w:val="BodyText"/>
      </w:pPr>
      <w:r>
        <w:rPr>
          <w:rFonts w:hint="eastAsia"/>
        </w:rPr>
        <w:t xml:space="preserve">2025年欧盟首次庇护申请66.94万件，Frontex记录非正常入境17.8万人，遣返率约28%至29%(每季度11.75万项遣返令对应约3.386万实际遣返)，EUAA在12个成员国部署1300名工作人员。欧盟移民事务专员马格努斯·布伦纳(Magnus</w:t>
      </w:r>
      <w:r>
        <w:t xml:space="preserve"> </w:t>
      </w:r>
      <w:r>
        <w:rPr>
          <w:rFonts w:hint="eastAsia"/>
        </w:rPr>
        <w:t xml:space="preserve">Brunner)称公约“展现了我们正在整顿欧洲家务”。HRW承认部分针对儿童的改革具有积极意义，包括强制年龄评估及两个月内确保教育机会。</w:t>
      </w:r>
    </w:p>
    <w:p>
      <w:pPr>
        <w:pStyle w:val="BodyText"/>
      </w:pPr>
      <w:r>
        <w:rPr>
          <w:b/>
          <w:bCs/>
        </w:rPr>
        <w:t xml:space="preserve">References</w:t>
      </w:r>
    </w:p>
    <w:p>
      <w:pPr>
        <w:pStyle w:val="BodyText"/>
      </w:pPr>
      <w:r>
        <w:t xml:space="preserve">[14] Sunderland, J. (2026, June 10). EU: Harmful migration, asylum pact in full effect. Human Rights Watch. https://www.hrw.org/news/2026/06/10/eu-harmful-migration-asylum-pact-in-full-effect</w:t>
      </w:r>
    </w:p>
    <w:p>
      <w:pPr>
        <w:pStyle w:val="BodyText"/>
      </w:pPr>
      <w:r>
        <w:t xml:space="preserve">[15] Human Rights Watch. (2026, June 10). Questions and answers: The EU Pact on Migration and Asylum. https://www.hrw.org/news/2026/06/10/questions-and-answers-the-eu-pact-on-migration-and-asylum</w:t>
      </w:r>
    </w:p>
    <w:p>
      <w:pPr>
        <w:pStyle w:val="BodyText"/>
      </w:pPr>
      <w:r>
        <w:t xml:space="preserve">[16] European Commission. (2026, May 8). Commission reports progress implementing Pact on Migration and Asylum. https://home-affairs.ec.europa.eu/news/commission-reports-progress-implementing-pact-migration-and-asylum-2026-05-08_en</w:t>
      </w:r>
    </w:p>
    <w:p>
      <w:pPr>
        <w:pStyle w:val="BodyText"/>
      </w:pPr>
      <w:r>
        <w:t xml:space="preserve">[17] Euronews. (2026, June 9). Can the new pact meet the EU’s ambition to reduce illegal migration? https://www.euronews.com/my-europe/2026/06/09/can-the-new-pact-meet-the-eus-ambition-to-reduce-illegal-migration</w:t>
      </w:r>
    </w:p>
    <w:p>
      <w:r>
        <w:pict>
          <v:rect style="width:0;height:1.5pt" o:hralign="center" o:hrstd="t" o:hr="t"/>
        </w:pict>
      </w:r>
    </w:p>
    <w:bookmarkEnd w:id="14"/>
    <w:bookmarkStart w:id="15" w:name="frontex副总干事警告欧盟入境出境系统稳定需一至两年"/>
    <w:p>
      <w:pPr>
        <w:pStyle w:val="Heading3"/>
      </w:pPr>
      <w:r>
        <w:rPr>
          <w:rFonts w:hint="eastAsia"/>
        </w:rPr>
        <w:t xml:space="preserve">Frontex副总干事警告：欧盟入境/出境系统稳定需一至两年</w:t>
      </w:r>
    </w:p>
    <w:p>
      <w:pPr>
        <w:pStyle w:val="FirstParagraph"/>
      </w:pPr>
      <w:r>
        <w:rPr>
          <w:rFonts w:hint="eastAsia"/>
        </w:rPr>
        <w:t xml:space="preserve">申根区生物特征边境系统(EES)4月中旬全面上线以来持续陷入运行混乱，Frontex副执行总干事乌库·萨雷坎诺(Uku</w:t>
      </w:r>
      <w:r>
        <w:t xml:space="preserve"> </w:t>
      </w:r>
      <w:r>
        <w:rPr>
          <w:rFonts w:hint="eastAsia"/>
        </w:rPr>
        <w:t xml:space="preserve">Särekanno)6月10日警告：“我们预计局势将在一到两年内趋于稳定，因为最具挑战性的是首次录入环节。”他补充称：“我们正投入大量精力确保各国做法趋于统一。”EES覆盖全部29个申根国家，要求所有非欧盟旅行者(短期停留不超过每180天90天)在入境时录入指纹和面部图像，以数字记录取代传统的人工护照盖章。</w:t>
      </w:r>
    </w:p>
    <w:p>
      <w:pPr>
        <w:pStyle w:val="BodyText"/>
      </w:pPr>
      <w:r>
        <w:rPr>
          <w:rFonts w:hint="eastAsia"/>
        </w:rPr>
        <w:t xml:space="preserve">混乱在西班牙、葡萄牙、法国机场尤为突出，指纹采集成为主要瓶颈，各国实施不一加剧了延误。米兰利纳特机场曾发生一起标志性事件：易捷航空一架飞往曼彻斯特的航班，156名已订票乘客中仅34人在数小时排队后赶上登机。英国旅行协会(ABTA)首席执行官马克·坦泽(Mark</w:t>
      </w:r>
      <w:r>
        <w:t xml:space="preserve"> </w:t>
      </w:r>
      <w:r>
        <w:rPr>
          <w:rFonts w:hint="eastAsia"/>
        </w:rPr>
        <w:t xml:space="preserve">Tanzer)以“非常痛苦”(very</w:t>
      </w:r>
      <w:r>
        <w:t xml:space="preserve"> </w:t>
      </w:r>
      <w:r>
        <w:rPr>
          <w:rFonts w:hint="eastAsia"/>
        </w:rPr>
        <w:t xml:space="preserve">painful)形容现状，英国航空公司协会首席执行官蒂姆·阿尔德斯莱德(Tim</w:t>
      </w:r>
      <w:r>
        <w:t xml:space="preserve"> </w:t>
      </w:r>
      <w:r>
        <w:rPr>
          <w:rFonts w:hint="eastAsia"/>
        </w:rPr>
        <w:t xml:space="preserve">Alderslade)则称：“我认为我们还有不少工作要做。”航空业已将系统部署定性为“系统性失败”。脱欧后的英国公民同样受EES约束。</w:t>
      </w:r>
    </w:p>
    <w:p>
      <w:pPr>
        <w:pStyle w:val="BodyText"/>
      </w:pPr>
      <w:r>
        <w:rPr>
          <w:b/>
          <w:bCs/>
        </w:rPr>
        <w:t xml:space="preserve">References</w:t>
      </w:r>
    </w:p>
    <w:p>
      <w:pPr>
        <w:pStyle w:val="BodyText"/>
      </w:pPr>
      <w:r>
        <w:t xml:space="preserve">[18] Euronews. (2026, June 10). Europe’s chaotic entry/exit system could take up to two years to stabilise, EU official warns. https://www.euronews.com/travel/2026/06/10/europes-chaotic-entryexit-system-could-take-up-to-two-years-to-stabilise-eu-official-warns</w:t>
      </w:r>
    </w:p>
    <w:p>
      <w:pPr>
        <w:pStyle w:val="BodyText"/>
      </w:pPr>
      <w:r>
        <w:t xml:space="preserve">[19] GB News. (2026). British holidaymakers warned airport chaos EES. https://www.gbnews.com/news/british-holidaymakers-warned-airport-chaos-ees</w:t>
      </w:r>
    </w:p>
    <w:p>
      <w:pPr>
        <w:pStyle w:val="BodyText"/>
      </w:pPr>
      <w:r>
        <w:t xml:space="preserve">[20] Biometric Update. (2026, May). EES troubles ignite speculation of further suspensions. https://www.biometricupdate.com/202605/ees-troubles-ignite-speculation-of-further-suspensions</w:t>
      </w:r>
    </w:p>
    <w:p>
      <w:r>
        <w:pict>
          <v:rect style="width:0;height:1.5pt" o:hralign="center" o:hrstd="t" o:hr="t"/>
        </w:pict>
      </w:r>
    </w:p>
    <w:bookmarkEnd w:id="15"/>
    <w:bookmarkEnd w:id="16"/>
    <w:bookmarkStart w:id="20" w:name="三科技与产业"/>
    <w:p>
      <w:pPr>
        <w:pStyle w:val="Heading2"/>
      </w:pPr>
      <w:r>
        <w:rPr>
          <w:rFonts w:hint="eastAsia"/>
        </w:rPr>
        <w:t xml:space="preserve">三、科技与产业</w:t>
      </w:r>
    </w:p>
    <w:bookmarkStart w:id="17" w:name="欧委会发布ai内容标识最终行为准则落实ai法第50条"/>
    <w:p>
      <w:pPr>
        <w:pStyle w:val="Heading3"/>
      </w:pPr>
      <w:r>
        <w:rPr>
          <w:rFonts w:hint="eastAsia"/>
        </w:rPr>
        <w:t xml:space="preserve">欧委会发布AI内容标识最终行为准则，落实AI法第50条</w:t>
      </w:r>
    </w:p>
    <w:p>
      <w:pPr>
        <w:pStyle w:val="FirstParagraph"/>
      </w:pPr>
      <w:r>
        <w:rPr>
          <w:rFonts w:hint="eastAsia"/>
        </w:rPr>
        <w:t xml:space="preserve">欧委会6月10日发布《AI生成内容标识与标记行为准则》的最终版本。欧委会数字政策页面明示：“最终行为准则发布日期：2026年6月10日”，并确认“准则正由委员会与AI委员会进行评估”。该准则配套实施《欧盟AI法》第50条——AI法于2024年8月1日生效，透明度条款自2026年8月2日适用。</w:t>
      </w:r>
    </w:p>
    <w:p>
      <w:pPr>
        <w:pStyle w:val="BodyText"/>
      </w:pPr>
      <w:r>
        <w:rPr>
          <w:rFonts w:hint="eastAsia"/>
        </w:rPr>
        <w:t xml:space="preserve">第50条核心义务有二：AI系统提供者必须以机器可读格式标识AI生成或经AI操控的内容；专业部署者须明确标注深度伪造内容(deepfakes)与涉及公共利益事项的AI生成文本。准则编制历经三轮：首版草案2025年12月17日发布，反馈截止2026年1月23日；第二版草案3月中旬出炉；最终版于6月10日定稿。准则由独立专家在数百名行业、学术界与公民社会代表的意见基础上完成。</w:t>
      </w:r>
    </w:p>
    <w:p>
      <w:pPr>
        <w:pStyle w:val="BodyText"/>
      </w:pPr>
      <w:r>
        <w:rPr>
          <w:rFonts w:hint="eastAsia"/>
        </w:rPr>
        <w:t xml:space="preserve">相比此前草案，最终版本更趋精简：签署方拥有更大灵活性，合规负担降低，技术表述更清晰；推动AI内容标识开放标准与欧盟统一图标，以降低合规成本。准则签署属自愿性质，但预计将成为事实上的合规基准。在统一图标推出前，签署方可使用过渡性的两字母缩写图标(如“AI”、“KI”、“IA”)，于内容首次曝光时以可见且一致的方式呈现。</w:t>
      </w:r>
    </w:p>
    <w:p>
      <w:pPr>
        <w:pStyle w:val="BodyText"/>
      </w:pPr>
      <w:r>
        <w:rPr>
          <w:b/>
          <w:bCs/>
        </w:rPr>
        <w:t xml:space="preserve">References</w:t>
      </w:r>
    </w:p>
    <w:p>
      <w:pPr>
        <w:pStyle w:val="BodyText"/>
      </w:pPr>
      <w:r>
        <w:t xml:space="preserve">[21] European Commission. (2026, June 10). Code of practice on marking and labelling of AI-generated content. https://digital-strategy.ec.europa.eu/en/policies/code-practice-ai-generated-content</w:t>
      </w:r>
    </w:p>
    <w:p>
      <w:pPr>
        <w:pStyle w:val="BodyText"/>
      </w:pPr>
      <w:r>
        <w:t xml:space="preserve">[22] Tech Policy Press. (2026). What the EU’s new AI code of practice means for labeling deepfakes. https://www.techpolicy.press/what-the-eus-new-ai-code-of-practice-means-for-labeling-deepfakes/</w:t>
      </w:r>
    </w:p>
    <w:p>
      <w:pPr>
        <w:pStyle w:val="BodyText"/>
      </w:pPr>
      <w:r>
        <w:t xml:space="preserve">[23] Kennedy’s Law. (2026). The EU AI Act’s draft code of practice on marking and labelling of AI-generated content. https://www.kennedyslaw.com/en/thought-leadership/article/2026/the-eu-ai-act-s-draft-code-of-practice-on-marking-and-labelling-of-ai-generated-content-what-providers-and-deployers-need-to-know/</w:t>
      </w:r>
    </w:p>
    <w:p>
      <w:pPr>
        <w:pStyle w:val="BodyText"/>
      </w:pPr>
      <w:r>
        <w:t xml:space="preserve">[24] Jones Day. (2026, January). European Commission publishes draft Code of Practice on AI labelling and transparency. https://www.jonesday.com/en/insights/2026/01/european-commission-publishes-draft-code-of-practice-on-ai-labelling-and-transparency</w:t>
      </w:r>
    </w:p>
    <w:p>
      <w:pPr>
        <w:pStyle w:val="BodyText"/>
      </w:pPr>
      <w:r>
        <w:t xml:space="preserve">[25] Artificial Intelligence Act EU. (2026). Article 50: Transparency obligations. https://artificialintelligenceact.eu/article/50/</w:t>
      </w:r>
    </w:p>
    <w:p>
      <w:r>
        <w:pict>
          <v:rect style="width:0;height:1.5pt" o:hralign="center" o:hrstd="t" o:hr="t"/>
        </w:pict>
      </w:r>
    </w:p>
    <w:bookmarkEnd w:id="17"/>
    <w:bookmarkStart w:id="18" w:name="欧盟电信部长理事会通过商业钱包总体方针推进数字网络法与网络安全法2号"/>
    <w:p>
      <w:pPr>
        <w:pStyle w:val="Heading3"/>
      </w:pPr>
      <w:r>
        <w:rPr>
          <w:rFonts w:hint="eastAsia"/>
        </w:rPr>
        <w:t xml:space="preserve">欧盟电信部长理事会通过商业钱包总体方针，推进数字网络法与网络安全法2号</w:t>
      </w:r>
    </w:p>
    <w:p>
      <w:pPr>
        <w:pStyle w:val="FirstParagraph"/>
      </w:pPr>
      <w:r>
        <w:rPr>
          <w:rFonts w:hint="eastAsia"/>
        </w:rPr>
        <w:t xml:space="preserve">欧盟电信部长理事会6月9日在卢森堡举行(塞浦路斯轮值主席国主持)，三项数字立法取得进展。其一，部长们就《欧洲商业钱包》法规通过理事会总体方针(general</w:t>
      </w:r>
      <w:r>
        <w:t xml:space="preserve"> </w:t>
      </w:r>
      <w:r>
        <w:rPr>
          <w:rFonts w:hint="eastAsia"/>
        </w:rPr>
        <w:t xml:space="preserve">approach)，这是与欧洲议会及欧委会展开三方谈判(trilogue)的谈判立场。商业钱包基于eIDAS2框架，将“使企业实现目前需要面对面办理的诸多业务的数字化”，支持跨境安全交换许可文件、合规文件、税务登记与公司证书，覆盖B2B和企业对行政部门两类交互。理事会总体方针通过即触发三方谈判启动。</w:t>
      </w:r>
    </w:p>
    <w:p>
      <w:pPr>
        <w:pStyle w:val="BodyText"/>
      </w:pPr>
      <w:r>
        <w:rPr>
          <w:rFonts w:hint="eastAsia"/>
        </w:rPr>
        <w:t xml:space="preserve">其二，主席国就《数字网络法》(DNA)提交进展报告，成员国普遍支持建设强健的欧盟数字网络基础设施。后续需进一步打磨的议题包括法律确定性、监管简化、铜缆向光纤过渡、频谱管理与“单一通行证”程序。DNA将整合现有四项立法——《欧洲电子通信法典》《BEREC条例》《无线电频谱政策计划》以及《开放互联网条例》和《电子隐私指令》核心部分。其三，部长们对《网络安全法2号》强化ENISA运行角色与精简认证框架表示欢迎；关切聚焦于ENISA职责扩大的范围、各国在认证中的参与、关键ICT资产与高风险供应商的识别程序，自愿认证获得广泛支持。DNA与网络安全法2号均纳入“统一欧洲、统一市场”路线图。</w:t>
      </w:r>
    </w:p>
    <w:p>
      <w:pPr>
        <w:pStyle w:val="BodyText"/>
      </w:pPr>
      <w:r>
        <w:rPr>
          <w:b/>
          <w:bCs/>
        </w:rPr>
        <w:t xml:space="preserve">References</w:t>
      </w:r>
    </w:p>
    <w:p>
      <w:pPr>
        <w:pStyle w:val="BodyText"/>
      </w:pPr>
      <w:r>
        <w:t xml:space="preserve">[26] INSIGHT EU MONITORING. (2026, June 10). Main results of the EU Telecommunications Council on 9 June 2026. https://ieu-monitoring.com/editorial/main-results-of-the-eu-telecommunications-council-on-9-june-2026/1243080</w:t>
      </w:r>
    </w:p>
    <w:p>
      <w:pPr>
        <w:pStyle w:val="BodyText"/>
      </w:pPr>
      <w:r>
        <w:t xml:space="preserve">[27] Council of the European Union. (2026, June 9). Telecommunications Council meeting. https://www.consilium.europa.eu/en/meetings/tte/2026/06/09/</w:t>
      </w:r>
    </w:p>
    <w:p>
      <w:pPr>
        <w:pStyle w:val="BodyText"/>
      </w:pPr>
      <w:r>
        <w:t xml:space="preserve">[28] ID Tech Wire. (2026). EU telecom ministers take up European business wallets. https://idtechwire.com/eu-telecom-ministers-take-up-european-business-wallets/</w:t>
      </w:r>
    </w:p>
    <w:p>
      <w:r>
        <w:pict>
          <v:rect style="width:0;height:1.5pt" o:hralign="center" o:hrstd="t" o:hr="t"/>
        </w:pict>
      </w:r>
    </w:p>
    <w:bookmarkEnd w:id="18"/>
    <w:bookmarkStart w:id="19" w:name="欧盟韩国数字贸易协定签署欧盟首份具约束力的亚洲数字贸易规则落地"/>
    <w:p>
      <w:pPr>
        <w:pStyle w:val="Heading3"/>
      </w:pPr>
      <w:r>
        <w:rPr>
          <w:rFonts w:hint="eastAsia"/>
        </w:rPr>
        <w:t xml:space="preserve">欧盟—韩国数字贸易协定签署，欧盟首份具约束力的亚洲数字贸易规则落地</w:t>
      </w:r>
    </w:p>
    <w:p>
      <w:pPr>
        <w:pStyle w:val="FirstParagraph"/>
      </w:pPr>
      <w:r>
        <w:rPr>
          <w:rFonts w:hint="eastAsia"/>
        </w:rPr>
        <w:t xml:space="preserve">欧盟—韩国数字贸易协定(DTA)6月10日在布鲁塞尔峰会上正式签署，文本已于4月由欧委会与韩国敲定。协定确立五大领域的约束性规则：数据流动(含跨境数据传输与本地化限制)、电子合同(法律承认与可执行性)、数字签名、在线贸易消费者保护以及在线贸易总体规则。协定明确目标是建立“数据流动、电子合同、数字签名、消费者保护和在线贸易等领域的共同规则”，提供“建立消费者信任并为企业提供可预测性和法律确定性的约束性规则”，并支持包括科研合作在内的“可信数据流动”。</w:t>
      </w:r>
    </w:p>
    <w:p>
      <w:pPr>
        <w:pStyle w:val="BodyText"/>
      </w:pPr>
      <w:r>
        <w:rPr>
          <w:rFonts w:hint="eastAsia"/>
        </w:rPr>
        <w:t xml:space="preserve">这是欧盟与重要亚洲经济体之间首份基于最终签署文本的全面双边数字贸易协定。协定建立在2015年12月生效的欧盟—韩国自贸协定、2024年安全与防务伙伴关系，以及2026年4月欧盟—韩国贸易与技术合作框架之上。2025年韩欧双边货物贸易达1240亿欧元，数字贸易维度通过本协定法典化，涵盖电子商务、平台治理、数据经济与数字服务，为欧盟在亚洲推动数字治理标准提供新支点。</w:t>
      </w:r>
    </w:p>
    <w:p>
      <w:pPr>
        <w:pStyle w:val="BodyText"/>
      </w:pPr>
      <w:r>
        <w:rPr>
          <w:b/>
          <w:bCs/>
        </w:rPr>
        <w:t xml:space="preserve">References</w:t>
      </w:r>
    </w:p>
    <w:p>
      <w:pPr>
        <w:pStyle w:val="BodyText"/>
      </w:pPr>
      <w:r>
        <w:t xml:space="preserve">[29] Agence Europe. (2026, June 10). During 11th bilateral summit, EU and South Korea aim to strengthen security partnership and modernise free trade agreement. https://agenceurope.eu/en/bulletin/article/13884/20/during-11th-bilateral-summit-eu-and-south-korea-aim-to-strengthen-security-partnership-and-modernise-free-trade-agreement</w:t>
      </w:r>
    </w:p>
    <w:p>
      <w:pPr>
        <w:pStyle w:val="BodyText"/>
      </w:pPr>
      <w:r>
        <w:t xml:space="preserve">[30] European Commission. (2026, April 17). EU and South Korea strengthen trade and technology cooperation. https://policy.trade.ec.europa.eu/news/eu-and-south-korea-strengthen-trade-and-technology-cooperation-2026-04-17_en</w:t>
      </w:r>
    </w:p>
    <w:p>
      <w:pPr>
        <w:pStyle w:val="BodyText"/>
      </w:pPr>
      <w:r>
        <w:t xml:space="preserve">[31] Telefónica. (2026). EU–South Korea Digital Trade Agreement. https://www.telefonica.com/en/communication-room/blog/eu-south-korea-digital-trade-agreement/</w:t>
      </w:r>
    </w:p>
    <w:p>
      <w:r>
        <w:pict>
          <v:rect style="width:0;height:1.5pt" o:hralign="center" o:hrstd="t" o:hr="t"/>
        </w:pict>
      </w:r>
    </w:p>
    <w:bookmarkEnd w:id="19"/>
    <w:bookmarkEnd w:id="20"/>
    <w:bookmarkStart w:id="23" w:name="四社会与民生"/>
    <w:p>
      <w:pPr>
        <w:pStyle w:val="Heading2"/>
      </w:pPr>
      <w:r>
        <w:rPr>
          <w:rFonts w:hint="eastAsia"/>
        </w:rPr>
        <w:t xml:space="preserve">四、社会与民生</w:t>
      </w:r>
    </w:p>
    <w:bookmarkStart w:id="21" w:name="教宗良十四世为圣家堂耶稣基督塔祝圣恰逢高迪辞世百年"/>
    <w:p>
      <w:pPr>
        <w:pStyle w:val="Heading3"/>
      </w:pPr>
      <w:r>
        <w:rPr>
          <w:rFonts w:hint="eastAsia"/>
        </w:rPr>
        <w:t xml:space="preserve">教宗良十四世为圣家堂耶稣基督塔祝圣，恰逢高迪辞世百年</w:t>
      </w:r>
    </w:p>
    <w:p>
      <w:pPr>
        <w:pStyle w:val="FirstParagraph"/>
      </w:pPr>
      <w:r>
        <w:rPr>
          <w:rFonts w:hint="eastAsia"/>
        </w:rPr>
        <w:t xml:space="preserve">教宗良十四世(Pope</w:t>
      </w:r>
      <w:r>
        <w:t xml:space="preserve"> Leo </w:t>
      </w:r>
      <w:r>
        <w:rPr>
          <w:rFonts w:hint="eastAsia"/>
        </w:rPr>
        <w:t xml:space="preserve">XIV)6月10日在巴塞罗那圣家堂(Sagrada</w:t>
      </w:r>
      <w:r>
        <w:t xml:space="preserve"> </w:t>
      </w:r>
      <w:r>
        <w:rPr>
          <w:rFonts w:hint="eastAsia"/>
        </w:rPr>
        <w:t xml:space="preserve">Família)主持耶稣基督塔的祝圣与启用典礼，日期特意选在建筑师安东尼·高迪(Antoni</w:t>
      </w:r>
      <w:r>
        <w:t xml:space="preserve"> </w:t>
      </w:r>
      <w:r>
        <w:rPr>
          <w:rFonts w:hint="eastAsia"/>
        </w:rPr>
        <w:t xml:space="preserve">Gaudí)1926年6月10日被有轨电车撞击身亡的百周年纪念日。新落成的耶稣基督塔为圣家堂中央塔楼，高172.5米(566英尺)，使这座未完工的圣殿成为世界最高教堂。塔顶十字架高17米、宽13.5米，重约100吨；上臂雕有意大利艺术家安德烈·马斯特罗维托(Andrea</w:t>
      </w:r>
      <w:r>
        <w:t xml:space="preserve"> </w:t>
      </w:r>
      <w:r>
        <w:rPr>
          <w:rFonts w:hint="eastAsia"/>
        </w:rPr>
        <w:t xml:space="preserve">Mastrovito)创作的羔羊雕塑，由七个组件拼接而成。</w:t>
      </w:r>
    </w:p>
    <w:p>
      <w:pPr>
        <w:pStyle w:val="BodyText"/>
      </w:pPr>
      <w:r>
        <w:rPr>
          <w:rFonts w:hint="eastAsia"/>
        </w:rPr>
        <w:t xml:space="preserve">良十四世2025年5月当选，是首位美国出生的教宗，也是首位为圣家堂任一塔楼主持启用礼的教宗。当日行程致密：上午赴“布里安斯一号”监狱探访犯人；在加泰罗尼亚主保——蒙特塞拉特圣母山修道院于圣母像前祈念玫瑰经；与本笃会修士共进午餐；下午在圣家堂内主持隆重弥撒，由众枢机、主教与神父共祭，加泰罗尼亚音乐家和合唱团参与。塔高172.5米严格遵循高迪“人造之物不应超越神之造物”的原则，较蒙特惠克山177米海拔低4.5米。圣家堂始建于1882年，全部完工目标为2035年。良十四世访问西班牙的使徒之旅为期6月6日至12日。</w:t>
      </w:r>
    </w:p>
    <w:p>
      <w:pPr>
        <w:pStyle w:val="BodyText"/>
      </w:pPr>
      <w:r>
        <w:rPr>
          <w:b/>
          <w:bCs/>
        </w:rPr>
        <w:t xml:space="preserve">References</w:t>
      </w:r>
    </w:p>
    <w:p>
      <w:pPr>
        <w:pStyle w:val="BodyText"/>
      </w:pPr>
      <w:r>
        <w:t xml:space="preserve">[32] Holy See. (2026). Apostolic journey of Pope Leo XIV to Spain (6–12 June 2026). https://www.vatican.va/content/leo-xiv/en/travels/2026/documents/spagna-6-12giugno2026.html</w:t>
      </w:r>
    </w:p>
    <w:p>
      <w:pPr>
        <w:pStyle w:val="BodyText"/>
      </w:pPr>
      <w:r>
        <w:t xml:space="preserve">[33] NBC News. (2026). Pope Leo, Barcelona, Spain, Sagrada Família cathedral basilica. https://www.nbcnews.com/world/spain/pope-leo-barcelona-spain-sagrada-familia-cathedral-basilica-rcna349049</w:t>
      </w:r>
    </w:p>
    <w:p>
      <w:pPr>
        <w:pStyle w:val="BodyText"/>
      </w:pPr>
      <w:r>
        <w:t xml:space="preserve">[34] France 24. (2026). Pope Leo to bless newly completed Sagrada Família tower in Barcelona. https://www.france24.com/en/pope-leo-to-bless-newly-completed-sagrada-familia-tower-in-barcelona</w:t>
      </w:r>
    </w:p>
    <w:p>
      <w:pPr>
        <w:pStyle w:val="BodyText"/>
      </w:pPr>
      <w:r>
        <w:t xml:space="preserve">[35] Il Messaggero. (2026). Unity in diversity: Pope Leo XIV in Barcelona. https://www.ilmessaggero.it/en/unity_in_diversity_pope_leo_xiv_in_barcelona-9582559.html</w:t>
      </w:r>
    </w:p>
    <w:p>
      <w:pPr>
        <w:pStyle w:val="BodyText"/>
      </w:pPr>
      <w:r>
        <w:t xml:space="preserve">[36] Sagrada Família. (2026). Blessing and inauguration of the Tower of Jesus Christ. https://sagradafamilia2026.org/en/event/inauguracio-torre-de-jesuscrist/</w:t>
      </w:r>
    </w:p>
    <w:p>
      <w:pPr>
        <w:pStyle w:val="BodyText"/>
      </w:pPr>
      <w:r>
        <w:t xml:space="preserve">[37] Wikipedia. (2026). 2026 visit by Pope Leo XIV to Spain. https://en.wikipedia.org/wiki/2026_visit_by_Pope_Leo_XIV_to_Spain</w:t>
      </w:r>
    </w:p>
    <w:p>
      <w:r>
        <w:pict>
          <v:rect style="width:0;height:1.5pt" o:hralign="center" o:hrstd="t" o:hr="t"/>
        </w:pict>
      </w:r>
    </w:p>
    <w:bookmarkEnd w:id="21"/>
    <w:bookmarkStart w:id="22" w:name="德国医生全国大罢工bdi加入扩大波及范围"/>
    <w:p>
      <w:pPr>
        <w:pStyle w:val="Heading3"/>
      </w:pPr>
      <w:r>
        <w:rPr>
          <w:rFonts w:hint="eastAsia"/>
        </w:rPr>
        <w:t xml:space="preserve">德国医生全国大罢工，BDI加入扩大波及范围</w:t>
      </w:r>
    </w:p>
    <w:p>
      <w:pPr>
        <w:pStyle w:val="FirstParagraph"/>
      </w:pPr>
      <w:r>
        <w:rPr>
          <w:rFonts w:hint="eastAsia"/>
        </w:rPr>
        <w:t xml:space="preserve">德国全国医生与心理治疗师诊所6月10日全天停诊一日，所有非急诊门诊服务陷入停摆。罢工由门诊医师协会MEDI</w:t>
      </w:r>
      <w:r>
        <w:t xml:space="preserve"> </w:t>
      </w:r>
      <w:r>
        <w:rPr>
          <w:rFonts w:hint="eastAsia"/>
        </w:rPr>
        <w:t xml:space="preserve">GENO组织，德国内科医师联合会(BDI)随后加入，Strike</w:t>
      </w:r>
      <w:r>
        <w:t xml:space="preserve"> </w:t>
      </w:r>
      <w:r>
        <w:rPr>
          <w:rFonts w:hint="eastAsia"/>
        </w:rPr>
        <w:t xml:space="preserve">Tracker将本次行动定性为“重大”(Major)，并指出停摆“随BDI加入而扩大”。核心诉求是12个月内薪资上涨8%。代表大学医院医生的Marburger</w:t>
      </w:r>
      <w:r>
        <w:t xml:space="preserve"> </w:t>
      </w:r>
      <w:r>
        <w:rPr>
          <w:rFonts w:hint="eastAsia"/>
        </w:rPr>
        <w:t xml:space="preserve">Bund工会同期与雇主进行平行谈判，第二轮于5月底破裂，第三轮原定6月初进行。受影响服务包括常规体检、专科咨询、非紧急手术与心理治疗，急诊与住院服务照常。</w:t>
      </w:r>
    </w:p>
    <w:p>
      <w:pPr>
        <w:pStyle w:val="BodyText"/>
      </w:pPr>
      <w:r>
        <w:rPr>
          <w:rFonts w:hint="eastAsia"/>
        </w:rPr>
        <w:t xml:space="preserve">德国此次行动是欧洲医疗劳资动荡的一环。葡萄牙医护工作者宣布2026年全年罢工。西班牙六大医疗工会——CESM、SMA、Metges</w:t>
      </w:r>
      <w:r>
        <w:t xml:space="preserve"> de </w:t>
      </w:r>
      <w:r>
        <w:rPr>
          <w:rFonts w:hint="eastAsia"/>
        </w:rPr>
        <w:t xml:space="preserve">Catalunya、AMYTS、SME、O’MEGA——拒绝接受卫生部5月底批准的医护工作者《框架法规》，呼吁6月15日12时在卫生部前举行全国集会。Euronews</w:t>
      </w:r>
      <w:r>
        <w:t xml:space="preserve"> </w:t>
      </w:r>
      <w:r>
        <w:rPr>
          <w:rFonts w:hint="eastAsia"/>
        </w:rPr>
        <w:t xml:space="preserve">5月29日的报道亦曾警示，德国谈判“在5月底第二轮谈判后陷入停滞”，警告性罢工“若不能尽快达成协议将迫在眉睫”，可能扰乱“非紧急治疗、预定手术和体检”。</w:t>
      </w:r>
    </w:p>
    <w:p>
      <w:pPr>
        <w:pStyle w:val="BodyText"/>
      </w:pPr>
      <w:r>
        <w:rPr>
          <w:b/>
          <w:bCs/>
        </w:rPr>
        <w:t xml:space="preserve">References</w:t>
      </w:r>
    </w:p>
    <w:p>
      <w:pPr>
        <w:pStyle w:val="BodyText"/>
      </w:pPr>
      <w:r>
        <w:t xml:space="preserve">[38] Strike Tracker. (2026). Strikes in Germany. https://striketracker.app/strikes-in-germany</w:t>
      </w:r>
    </w:p>
    <w:p>
      <w:pPr>
        <w:pStyle w:val="BodyText"/>
      </w:pPr>
      <w:r>
        <w:t xml:space="preserve">[39] Euronews. (2026, May 29). UK, Spain, Germany: Why are doctors across Europe going on more strikes? https://www.euronews.com/health/2026/05/29/uk-spain-germany-why-are-doctors-across-europe-going-on-more-strikes</w:t>
      </w:r>
    </w:p>
    <w:p>
      <w:r>
        <w:pict>
          <v:rect style="width:0;height:1.5pt" o:hralign="center" o:hrstd="t" o:hr="t"/>
        </w:pict>
      </w:r>
    </w:p>
    <w:p>
      <w:pPr>
        <w:pStyle w:val="FirstParagraph"/>
      </w:pPr>
      <w:r>
        <w:rPr>
          <w:rFonts w:hint="eastAsia"/>
          <w:i/>
          <w:iCs/>
        </w:rPr>
        <w:t xml:space="preserve">注：本分类当日仅检索到</w:t>
      </w:r>
      <w:r>
        <w:rPr>
          <w:i/>
          <w:iCs/>
        </w:rPr>
        <w:t xml:space="preserve"> 2 </w:t>
      </w:r>
      <w:r>
        <w:rPr>
          <w:rFonts w:hint="eastAsia"/>
          <w:i/>
          <w:iCs/>
        </w:rPr>
        <w:t xml:space="preserve">条符合</w:t>
      </w:r>
      <w:r>
        <w:rPr>
          <w:i/>
          <w:iCs/>
        </w:rPr>
        <w:t xml:space="preserve"> T1-T4 </w:t>
      </w:r>
      <w:r>
        <w:rPr>
          <w:rFonts w:hint="eastAsia"/>
          <w:i/>
          <w:iCs/>
        </w:rPr>
        <w:t xml:space="preserve">标准的新闻。</w:t>
      </w:r>
    </w:p>
    <w:bookmarkEnd w:id="22"/>
    <w:bookmarkEnd w:id="23"/>
    <w:bookmarkStart w:id="25" w:name="五企业ipo与并购"/>
    <w:p>
      <w:pPr>
        <w:pStyle w:val="Heading2"/>
      </w:pPr>
      <w:r>
        <w:rPr>
          <w:rFonts w:hint="eastAsia"/>
        </w:rPr>
        <w:t xml:space="preserve">五、企业IPO与并购</w:t>
      </w:r>
    </w:p>
    <w:bookmarkStart w:id="24" w:name="Xfb662a5cd04aceb3d7f05e063f06637feab7577"/>
    <w:p>
      <w:pPr>
        <w:pStyle w:val="Heading3"/>
      </w:pPr>
      <w:r>
        <w:rPr>
          <w:rFonts w:hint="eastAsia"/>
        </w:rPr>
        <w:t xml:space="preserve">InstallatørGruppen登陆纳斯达克哥本哈根，发行价DKK</w:t>
      </w:r>
      <w:r>
        <w:t xml:space="preserve"> </w:t>
      </w:r>
      <w:r>
        <w:rPr>
          <w:rFonts w:hint="eastAsia"/>
        </w:rPr>
        <w:t xml:space="preserve">15.00估值45亿丹麦克朗</w:t>
      </w:r>
    </w:p>
    <w:p>
      <w:pPr>
        <w:pStyle w:val="FirstParagraph"/>
      </w:pPr>
      <w:r>
        <w:rPr>
          <w:rFonts w:hint="eastAsia"/>
        </w:rPr>
        <w:t xml:space="preserve">丹麦综合技术安装服务商InstallatørGruppen</w:t>
      </w:r>
      <w:r>
        <w:t xml:space="preserve"> </w:t>
      </w:r>
      <w:r>
        <w:rPr>
          <w:rFonts w:hint="eastAsia"/>
        </w:rPr>
        <w:t xml:space="preserve">A/S确认在纳斯达克哥本哈根的IPO发行价为每股DKK</w:t>
      </w:r>
      <w:r>
        <w:t xml:space="preserve"> </w:t>
      </w:r>
      <w:r>
        <w:rPr>
          <w:rFonts w:hint="eastAsia"/>
        </w:rPr>
        <w:t xml:space="preserve">15.00，预计6月11日挂牌交易。按发行价计算，公司隐含市值达45亿丹麦克朗(约合6.98亿美元)。本次发行规模为7000万股老股，由FSN</w:t>
      </w:r>
      <w:r>
        <w:t xml:space="preserve"> </w:t>
      </w:r>
      <w:r>
        <w:rPr>
          <w:rFonts w:hint="eastAsia"/>
        </w:rPr>
        <w:t xml:space="preserve">Capital相关基金及约300名小股东出售，公司不获得发行所得；发行总额约10.5亿丹麦克朗(约1.63亿美元)。承销商获得15%的超额配售权，最多增发1050万股，若全额行使则总发行规模可达12亿丹麦克朗。</w:t>
      </w:r>
    </w:p>
    <w:p>
      <w:pPr>
        <w:pStyle w:val="BodyText"/>
      </w:pPr>
      <w:r>
        <w:rPr>
          <w:rFonts w:hint="eastAsia"/>
        </w:rPr>
        <w:t xml:space="preserve">InstallatørGruppen由尼尔斯·埃尔德鲁普·梅达尔(Niels</w:t>
      </w:r>
      <w:r>
        <w:t xml:space="preserve"> Eldrup </w:t>
      </w:r>
      <w:r>
        <w:rPr>
          <w:rFonts w:hint="eastAsia"/>
        </w:rPr>
        <w:t xml:space="preserve">Meidahl)与彼得·弗兰森(Peter</w:t>
      </w:r>
      <w:r>
        <w:t xml:space="preserve"> </w:t>
      </w:r>
      <w:r>
        <w:rPr>
          <w:rFonts w:hint="eastAsia"/>
        </w:rPr>
        <w:t xml:space="preserve">Frandsen)于2023年初通过收购11家丹麦技术安装公司组建，此后完成超过45起收购，业务版图扩展至丹麦与瑞士。服务范畴涵盖电气安装、采暖、通风、制冷、楼宇自动化、太阳能装置与消防安全方案，客户覆盖住宅、商业、工业与公共部门。出售方包括私募基金FSN</w:t>
      </w:r>
      <w:r>
        <w:t xml:space="preserve"> </w:t>
      </w:r>
      <w:r>
        <w:rPr>
          <w:rFonts w:hint="eastAsia"/>
        </w:rPr>
        <w:t xml:space="preserve">Capital相关基金及约300名小股东。招股说明书(2026年第1号监管发布)已于6月3日通过GlobeNewswire披露。</w:t>
      </w:r>
    </w:p>
    <w:p>
      <w:pPr>
        <w:pStyle w:val="BodyText"/>
      </w:pPr>
      <w:r>
        <w:rPr>
          <w:b/>
          <w:bCs/>
        </w:rPr>
        <w:t xml:space="preserve">References</w:t>
      </w:r>
    </w:p>
    <w:p>
      <w:pPr>
        <w:pStyle w:val="BodyText"/>
      </w:pPr>
      <w:r>
        <w:t xml:space="preserve">[40] Caproasia. (2026, June 10). Denmark technical installation company InstallatørGruppen Denmark Nasdaq Copenhagen IPO to raise $163 million at $698 million valuation. https://www.caproasia.com/2026/06/10/denmark-technical-installation-company-installatorgruppen-denmark-nasdaq-copenhagen-ipo-to-raise-163-million-at-698-million-valuation-with-expected-ipo-listing-on-11th-june-2026-founded-in-2023-by/</w:t>
      </w:r>
    </w:p>
    <w:p>
      <w:pPr>
        <w:pStyle w:val="BodyText"/>
      </w:pPr>
      <w:r>
        <w:t xml:space="preserve">[41] GlobeNewswire. (2026, June 3). Regulatory release no. 1–2026: Publication of offering circular and offer price for the initial public offering and admission of the shares of InstallatørGruppen A/S to trading on Nasdaq Copenhagen. https://www.globenewswire.com/news-release/2026/06/03/3305786/0/en/Regulatory-release-no-1-2026-Publication-of-Offering-Circular-and-offer-price-for-the-Initial-Public-Offering-and-admission-of-the-shares-of-Installat%C3%B8rGruppen-A-S-to-trading-on-Na.html</w:t>
      </w:r>
    </w:p>
    <w:p>
      <w:pPr>
        <w:pStyle w:val="BodyText"/>
      </w:pPr>
      <w:r>
        <w:t xml:space="preserve">[42] Reuters / TradingView. (2026). InstallatørGruppen intends to pursue IPO on Nasdaq Copenhagen. https://www.tradingview.com/news/reuters.com,2026:newsml_FWN41T01Q:0-installat-rgruppen-intends-to-pursue-ipo-on-nasdaq-copenhagen/</w:t>
      </w:r>
    </w:p>
    <w:p>
      <w:pPr>
        <w:pStyle w:val="BodyText"/>
      </w:pPr>
      <w:r>
        <w:t xml:space="preserve">[43] IPOX. (2026). IPO calendar: InstallatørGruppen. https://www.ipox.com/ipo-calendar/installatrgruppen</w:t>
      </w:r>
    </w:p>
    <w:p>
      <w:r>
        <w:pict>
          <v:rect style="width:0;height:1.5pt" o:hralign="center" o:hrstd="t" o:hr="t"/>
        </w:pict>
      </w:r>
    </w:p>
    <w:p>
      <w:pPr>
        <w:pStyle w:val="FirstParagraph"/>
      </w:pPr>
      <w:r>
        <w:rPr>
          <w:rFonts w:hint="eastAsia"/>
          <w:i/>
          <w:iCs/>
        </w:rPr>
        <w:t xml:space="preserve">注：本分类当日仅检索到</w:t>
      </w:r>
      <w:r>
        <w:rPr>
          <w:i/>
          <w:iCs/>
        </w:rPr>
        <w:t xml:space="preserve"> 1 </w:t>
      </w:r>
      <w:r>
        <w:rPr>
          <w:rFonts w:hint="eastAsia"/>
          <w:i/>
          <w:iCs/>
        </w:rPr>
        <w:t xml:space="preserve">条符合</w:t>
      </w:r>
      <w:r>
        <w:rPr>
          <w:i/>
          <w:iCs/>
        </w:rPr>
        <w:t xml:space="preserve"> T1-T4 </w:t>
      </w:r>
      <w:r>
        <w:rPr>
          <w:rFonts w:hint="eastAsia"/>
          <w:i/>
          <w:iCs/>
        </w:rPr>
        <w:t xml:space="preserve">标准的新闻。</w:t>
      </w:r>
    </w:p>
    <w:bookmarkEnd w:id="24"/>
    <w:bookmarkEnd w:id="25"/>
    <w:bookmarkStart w:id="29" w:name="六其他重要事件"/>
    <w:p>
      <w:pPr>
        <w:pStyle w:val="Heading2"/>
      </w:pPr>
      <w:r>
        <w:rPr>
          <w:rFonts w:hint="eastAsia"/>
        </w:rPr>
        <w:t xml:space="preserve">六、其他重要事件</w:t>
      </w:r>
    </w:p>
    <w:bookmarkStart w:id="26" w:name="城市转型大会2026在布鲁塞尔召开dut伙伴关系展望2033"/>
    <w:p>
      <w:pPr>
        <w:pStyle w:val="Heading3"/>
      </w:pPr>
      <w:r>
        <w:rPr>
          <w:rFonts w:hint="eastAsia"/>
        </w:rPr>
        <w:t xml:space="preserve">城市转型大会2026在布鲁塞尔召开，DUT伙伴关系展望2033</w:t>
      </w:r>
    </w:p>
    <w:p>
      <w:pPr>
        <w:pStyle w:val="FirstParagraph"/>
      </w:pPr>
      <w:r>
        <w:rPr>
          <w:rFonts w:hint="eastAsia"/>
        </w:rPr>
        <w:t xml:space="preserve">驱动城市转型(DUT)大会2026于6月10日在布鲁塞尔Theodore</w:t>
      </w:r>
      <w:r>
        <w:t xml:space="preserve"> </w:t>
      </w:r>
      <w:r>
        <w:rPr>
          <w:rFonts w:hint="eastAsia"/>
        </w:rPr>
        <w:t xml:space="preserve">Verhaegen街158号的La</w:t>
      </w:r>
      <w:r>
        <w:t xml:space="preserve"> </w:t>
      </w:r>
      <w:r>
        <w:rPr>
          <w:rFonts w:hint="eastAsia"/>
        </w:rPr>
        <w:t xml:space="preserve">Tricoterie场地以混合模式举行，时间为08:30至17:45(中欧夏令时)。约250名参会者现场出席，涵盖学术界、公共部门、私营机构、公民社会、政策制定者与欧洲机构代表，另有来自巴基斯坦、卢旺达、比利时等地的线上参与者。</w:t>
      </w:r>
    </w:p>
    <w:p>
      <w:pPr>
        <w:pStyle w:val="BodyText"/>
      </w:pPr>
      <w:r>
        <w:rPr>
          <w:rFonts w:hint="eastAsia"/>
        </w:rPr>
        <w:t xml:space="preserve">会议主题为“驱动城市转型：从承诺到证据”(From</w:t>
      </w:r>
      <w:r>
        <w:t xml:space="preserve"> Promise to </w:t>
      </w:r>
      <w:r>
        <w:rPr>
          <w:rFonts w:hint="eastAsia"/>
        </w:rPr>
        <w:t xml:space="preserve">Proof)，集中呈现DUT伙伴关系的旗舰活动与面向2033年的战略方向，展示DUT资助项目的具体成果、经验教训与可推广方案。议程涵盖城市交通、能源转型与循环经济三大主题领域；专家小组探讨“城市的软实力”以及缩小地方与欧洲政策落差；分会场展示DUT首批资助项目成果；互动工作坊汇集DUT城市委员会与“城市行动者社区”的洞见。DUT伙伴关系是欧盟“统一欧洲”框架下的研究资助平台，由各国及地区研究资助方共同支持城市转型研究。现场名额自5月7日起即告售罄，线上注册保持开放。会议与同期(6月9日至11日)在布鲁塞尔召开的欧洲可持续能源周(EUSEW)形成议程协同。</w:t>
      </w:r>
    </w:p>
    <w:p>
      <w:pPr>
        <w:pStyle w:val="BodyText"/>
      </w:pPr>
      <w:r>
        <w:rPr>
          <w:b/>
          <w:bCs/>
        </w:rPr>
        <w:t xml:space="preserve">References</w:t>
      </w:r>
    </w:p>
    <w:p>
      <w:pPr>
        <w:pStyle w:val="BodyText"/>
      </w:pPr>
      <w:r>
        <w:t xml:space="preserve">[44] DUT Partnership. (2026). Driving Urban Transitions Conference 2026. https://dutpartnership.eu/events/dut-conference-2026</w:t>
      </w:r>
    </w:p>
    <w:p>
      <w:pPr>
        <w:pStyle w:val="BodyText"/>
      </w:pPr>
      <w:r>
        <w:t xml:space="preserve">[45] ERRIN. (2026). Driving Urban Transitions Conference 2026. https://errin.eu/events/driving-urban-transitions-conference-2026</w:t>
      </w:r>
    </w:p>
    <w:p>
      <w:pPr>
        <w:pStyle w:val="BodyText"/>
      </w:pPr>
      <w:r>
        <w:t xml:space="preserve">[46] Living-in.eu. (2026). DUT Conference 2026: Promise to proof. https://living-in.eu/events/dut-conference-2026-promise-proof</w:t>
      </w:r>
    </w:p>
    <w:p>
      <w:pPr>
        <w:pStyle w:val="BodyText"/>
      </w:pPr>
      <w:r>
        <w:t xml:space="preserve">[47] POLIS Network. (2026). DUT Conference 2026. https://www.polisnetwork.eu/event/dut-conference-2026/</w:t>
      </w:r>
    </w:p>
    <w:p>
      <w:r>
        <w:pict>
          <v:rect style="width:0;height:1.5pt" o:hralign="center" o:hrstd="t" o:hr="t"/>
        </w:pict>
      </w:r>
    </w:p>
    <w:bookmarkEnd w:id="26"/>
    <w:bookmarkStart w:id="27" w:name="世界杯前夜16支欧足联球队列阵北美"/>
    <w:p>
      <w:pPr>
        <w:pStyle w:val="Heading3"/>
      </w:pPr>
      <w:r>
        <w:rPr>
          <w:rFonts w:hint="eastAsia"/>
        </w:rPr>
        <w:t xml:space="preserve">2026世界杯前夜，16支欧足联球队列阵北美</w:t>
      </w:r>
    </w:p>
    <w:p>
      <w:pPr>
        <w:pStyle w:val="FirstParagraph"/>
      </w:pPr>
      <w:r>
        <w:rPr>
          <w:rFonts w:hint="eastAsia"/>
        </w:rPr>
        <w:t xml:space="preserve">ESPN世界杯实时博客6月10日08:01</w:t>
      </w:r>
      <w:r>
        <w:t xml:space="preserve"> </w:t>
      </w:r>
      <w:r>
        <w:rPr>
          <w:rFonts w:hint="eastAsia"/>
        </w:rPr>
        <w:t xml:space="preserve">ET发文：“经过所有铺垫与期盼，2026年世界杯只剩下一觉之隔。”这届史上最大规模的世界杯——48支球队、104场比赛——将于6月11日揭幕，墨西哥城首战墨西哥对阵南非；决赛定于7月19日在纽约/新泽西举行。欧足联16支晋级球队涵盖德国、西班牙、法国、荷兰、英格兰、葡萄牙、比利时、波兰、土耳其、波斯尼亚和黑塞哥维那、捷克、瑞典、克罗地亚、苏格兰等。</w:t>
      </w:r>
    </w:p>
    <w:p>
      <w:pPr>
        <w:pStyle w:val="BodyText"/>
      </w:pPr>
      <w:r>
        <w:rPr>
          <w:rFonts w:hint="eastAsia"/>
        </w:rPr>
        <w:t xml:space="preserve">夺冠赔率方面，欧足联欧锦赛2024卫冕冠军西班牙以+475领跑，拉明·亚马尔(Lamine</w:t>
      </w:r>
      <w:r>
        <w:t xml:space="preserve"> </w:t>
      </w:r>
      <w:r>
        <w:rPr>
          <w:rFonts w:hint="eastAsia"/>
        </w:rPr>
        <w:t xml:space="preserve">Yamal)为核心；法国(2022亚军)由基利安·姆巴佩(Kylian</w:t>
      </w:r>
      <w:r>
        <w:t xml:space="preserve"> </w:t>
      </w:r>
      <w:r>
        <w:rPr>
          <w:rFonts w:hint="eastAsia"/>
        </w:rPr>
        <w:t xml:space="preserve">Mbappé)领衔，上届决赛他独中三元；德国与科特迪瓦、厄瓜多尔、库拉索同组，弗洛里安·维尔茨(Florian</w:t>
      </w:r>
      <w:r>
        <w:t xml:space="preserve"> </w:t>
      </w:r>
      <w:r>
        <w:rPr>
          <w:rFonts w:hint="eastAsia"/>
        </w:rPr>
        <w:t xml:space="preserve">Wirtz)与贾马尔·穆夏拉(Jamal</w:t>
      </w:r>
      <w:r>
        <w:t xml:space="preserve"> </w:t>
      </w:r>
      <w:r>
        <w:rPr>
          <w:rFonts w:hint="eastAsia"/>
        </w:rPr>
        <w:t xml:space="preserve">Musiala)担纲；荷兰主教练罗纳德·科曼(Ronald</w:t>
      </w:r>
      <w:r>
        <w:t xml:space="preserve"> </w:t>
      </w:r>
      <w:r>
        <w:rPr>
          <w:rFonts w:hint="eastAsia"/>
        </w:rPr>
        <w:t xml:space="preserve">Koeman)直言：“我们的目标是赢得世界杯”，麾下范戴克、孟菲斯·德佩、弗伦基·德容均参赛。意大利连续第三届无缘世界杯。英格兰首战6月17日对阵克罗地亚。阿根廷队的莱昂内尔·梅西(Lionel</w:t>
      </w:r>
      <w:r>
        <w:t xml:space="preserve"> </w:t>
      </w:r>
      <w:r>
        <w:rPr>
          <w:rFonts w:hint="eastAsia"/>
        </w:rPr>
        <w:t xml:space="preserve">Messi)6月10日在热身赛中破门。</w:t>
      </w:r>
    </w:p>
    <w:p>
      <w:pPr>
        <w:pStyle w:val="BodyText"/>
      </w:pPr>
      <w:r>
        <w:rPr>
          <w:b/>
          <w:bCs/>
        </w:rPr>
        <w:t xml:space="preserve">References</w:t>
      </w:r>
    </w:p>
    <w:p>
      <w:pPr>
        <w:pStyle w:val="BodyText"/>
      </w:pPr>
      <w:r>
        <w:t xml:space="preserve">[48] ESPN. (2026, June 10). World Cup 2026 today blog: Live updates, news, fixtures, schedule, results — Lionel Messi scores. https://www.espn.com/soccer/story/_/id/49016738/world-cup-2026-today-blog-10-06-2026-live-updates-news-fixtures-schedule-results-lionel-messi-scores</w:t>
      </w:r>
    </w:p>
    <w:p>
      <w:pPr>
        <w:pStyle w:val="BodyText"/>
      </w:pPr>
      <w:r>
        <w:t xml:space="preserve">[49] NPR. (2026, June 10). World Cup 2026 soccer: Where to watch, preview, facts. https://www.npr.org/2026/06/10/nx-s1-5851660/world-cup-2026-soccer-where-to-watch-preview-facts</w:t>
      </w:r>
    </w:p>
    <w:p>
      <w:pPr>
        <w:pStyle w:val="BodyText"/>
      </w:pPr>
      <w:r>
        <w:t xml:space="preserve">[50] Euronews. (2026, May 30). The Euronews guide to the 2026 World Cup: Groups, fixtures and European kick-off times. https://www.euronews.com/2026/05/30/the-euronews-guide-to-the-2026-world-cup-groups-fixtures-and-european-kick-off-times</w:t>
      </w:r>
    </w:p>
    <w:p>
      <w:pPr>
        <w:pStyle w:val="BodyText"/>
      </w:pPr>
      <w:r>
        <w:t xml:space="preserve">[51] Al Jazeera. (2026, June 8). Which European nation has the best chance to win World Cup 2026? https://www.aljazeera.com/sports/2026/6/8/which-european-nation-has-the-best-chance-to-win-world-cup-2026</w:t>
      </w:r>
    </w:p>
    <w:p>
      <w:r>
        <w:pict>
          <v:rect style="width:0;height:1.5pt" o:hralign="center" o:hrstd="t" o:hr="t"/>
        </w:pict>
      </w:r>
    </w:p>
    <w:bookmarkEnd w:id="27"/>
    <w:bookmarkStart w:id="28" w:name="欧委会住房工作组研讨高效市政住房生态系统"/>
    <w:p>
      <w:pPr>
        <w:pStyle w:val="Heading3"/>
      </w:pPr>
      <w:r>
        <w:rPr>
          <w:rFonts w:hint="eastAsia"/>
        </w:rPr>
        <w:t xml:space="preserve">欧委会住房工作组研讨“高效市政住房生态系统”</w:t>
      </w:r>
    </w:p>
    <w:p>
      <w:pPr>
        <w:pStyle w:val="FirstParagraph"/>
      </w:pPr>
      <w:r>
        <w:rPr>
          <w:rFonts w:hint="eastAsia"/>
        </w:rPr>
        <w:t xml:space="preserve">欧委会住房工作组6月10日组织专题研讨会，聚焦“为市政住房构建高效生态系统”，召集国家与地方主管部门、住房协会与各利益相关方。研讨为欧委会更广泛的“可负担住房倡议”与“欧盟住房议程”组成部分，回应欧盟多数成员国严峻的住房可负担性危机。会议与欧盟—韩国峰会、DUT城市转型大会同日在布鲁塞尔进行。</w:t>
      </w:r>
    </w:p>
    <w:p>
      <w:pPr>
        <w:pStyle w:val="BodyText"/>
      </w:pPr>
      <w:r>
        <w:rPr>
          <w:rFonts w:hint="eastAsia"/>
        </w:rPr>
        <w:t xml:space="preserve">欧盟住房挑战十分严峻。西班牙工薪族购买80平方米住房需要8.4年全额工资，马德里则需15年(Fotocasa/InfoJobs</w:t>
      </w:r>
      <w:r>
        <w:t xml:space="preserve"> </w:t>
      </w:r>
      <w:r>
        <w:rPr>
          <w:rFonts w:hint="eastAsia"/>
        </w:rPr>
        <w:t xml:space="preserve">2026年6月10日数据)。整个欧盟2024—2025年住房可负担性因建筑成本高企、利率上升与供给紧张急剧恶化。欧委会住房工作组于2025年初在能源与住房专员丹·约根森(Dan</w:t>
      </w:r>
      <w:r>
        <w:t xml:space="preserve"> </w:t>
      </w:r>
      <w:r>
        <w:rPr>
          <w:rFonts w:hint="eastAsia"/>
        </w:rPr>
        <w:t xml:space="preserve">Jørgensen)领导下成立，专司协调欧盟层面住房危机应对。研讨会聚焦市政府与住房协会在扩大可负担住房供给中的角色、包括InvestEU担保在内的融资工具，以及社会住房模式的跨境互鉴。该活动列入5月29日发布的理事会《前瞻文件》(forward</w:t>
      </w:r>
      <w:r>
        <w:t xml:space="preserve"> </w:t>
      </w:r>
      <w:r>
        <w:rPr>
          <w:rFonts w:hint="eastAsia"/>
        </w:rPr>
        <w:t xml:space="preserve">look)，标记为6月10日欧委会活动。</w:t>
      </w:r>
    </w:p>
    <w:p>
      <w:pPr>
        <w:pStyle w:val="BodyText"/>
      </w:pPr>
      <w:r>
        <w:rPr>
          <w:b/>
          <w:bCs/>
        </w:rPr>
        <w:t xml:space="preserve">References</w:t>
      </w:r>
    </w:p>
    <w:p>
      <w:pPr>
        <w:pStyle w:val="BodyText"/>
      </w:pPr>
      <w:r>
        <w:t xml:space="preserve">[52] Council of the European Union. (2026, June 5). Forward look 2026. https://www.consilium.europa.eu/en/press/press-releases/2026/06/05/forward-look-2026/</w:t>
      </w:r>
    </w:p>
    <w:p>
      <w:r>
        <w:pict>
          <v:rect style="width:0;height:1.5pt" o:hralign="center" o:hrstd="t" o:hr="t"/>
        </w:pict>
      </w:r>
    </w:p>
    <w:bookmarkEnd w:id="28"/>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2026-06-10T12:57:34Z</dcterms:created>
  <dcterms:modified xsi:type="dcterms:W3CDTF">2026-06-10T12:57:34Z</dcterms:modified>
</cp:coreProperties>
</file>

<file path=docProps/custom.xml><?xml version="1.0" encoding="utf-8"?>
<Properties xmlns="http://schemas.openxmlformats.org/officeDocument/2006/custom-properties" xmlns:vt="http://schemas.openxmlformats.org/officeDocument/2006/docPropsVTypes"/>
</file>