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英国每日热点新闻-2026年7月3日"/>
    <w:p>
      <w:pPr>
        <w:pStyle w:val="Heading1"/>
      </w:pPr>
      <w:r>
        <w:rPr>
          <w:rFonts w:hint="eastAsia"/>
        </w:rPr>
        <w:t xml:space="preserve">英国每日热点新闻</w:t>
      </w:r>
      <w:r>
        <w:t xml:space="preserve"> — </w:t>
      </w:r>
      <w:r>
        <w:rPr>
          <w:rFonts w:hint="eastAsia"/>
        </w:rPr>
        <w:t xml:space="preserve">2026年7月3日</w:t>
      </w:r>
    </w:p>
    <w:bookmarkStart w:id="11" w:name="一经济与市场"/>
    <w:p>
      <w:pPr>
        <w:pStyle w:val="Heading2"/>
      </w:pPr>
      <w:r>
        <w:rPr>
          <w:rFonts w:hint="eastAsia"/>
        </w:rPr>
        <w:t xml:space="preserve">一、经济与市场</w:t>
      </w:r>
    </w:p>
    <w:bookmarkStart w:id="9" w:name="美国非农就业爆冷英镑兑美元升至两周高位"/>
    <w:p>
      <w:pPr>
        <w:pStyle w:val="Heading3"/>
      </w:pPr>
      <w:r>
        <w:rPr>
          <w:rFonts w:hint="eastAsia"/>
        </w:rPr>
        <w:t xml:space="preserve">美国非农就业爆冷，英镑兑美元升至两周高位</w:t>
      </w:r>
    </w:p>
    <w:p>
      <w:pPr>
        <w:pStyle w:val="FirstParagraph"/>
      </w:pPr>
      <w:r>
        <w:rPr>
          <w:rFonts w:hint="eastAsia"/>
        </w:rPr>
        <w:t xml:space="preserve">2026年7月3日（周五），英镑兑美元大涨，一度触及两周高点，GBP/USD报约1.3377美元，当日涨幅约0.7%。导火索来自大西洋对岸：美国6月新增非农就业仅5.7万人，远低于市场预期的约11万人，为数月来最疲弱的一份就业报告，且4月和5月数据同步遭下修。数据公布后，交易员迅速下调了美联储在年底前再度加息的押注，隐含概率由约70%回落至约50%，美元随之走弱，推动英镑受益。</w:t>
      </w:r>
    </w:p>
    <w:p>
      <w:pPr>
        <w:pStyle w:val="BodyText"/>
      </w:pPr>
      <w:r>
        <w:rPr>
          <w:rFonts w:hint="eastAsia"/>
        </w:rPr>
        <w:t xml:space="preserve">除美元一端的推动外，英镑还得到英国国内政治不确定性缓解的支撑。此前工党领导权更替一度令市场担忧财政纪律松动，但目前唯一公开表态参选的候选人、大曼彻斯特市长安迪·伯纳姆（Andy</w:t>
      </w:r>
      <w:r>
        <w:t xml:space="preserve"> </w:t>
      </w:r>
      <w:r>
        <w:rPr>
          <w:rFonts w:hint="eastAsia"/>
        </w:rPr>
        <w:t xml:space="preserve">Burnham）已承诺遵守现行财政规则，令市场情绪转暖。这一背景需回溯到6月22日——首相基尔·斯塔默（Keir</w:t>
      </w:r>
      <w:r>
        <w:t xml:space="preserve"> </w:t>
      </w:r>
      <w:r>
        <w:rPr>
          <w:rFonts w:hint="eastAsia"/>
        </w:rPr>
        <w:t xml:space="preserve">Starmer）在工党5月地方选举失利、党内因改革党（Reform</w:t>
      </w:r>
      <w:r>
        <w:t xml:space="preserve"> </w:t>
      </w:r>
      <w:r>
        <w:rPr>
          <w:rFonts w:hint="eastAsia"/>
        </w:rPr>
        <w:t xml:space="preserve">UK）崛起而人心浮动之际宣布辞职，伯纳姆随即成为无可争议的接班热门。澳大利亚联邦银行（Commonwealth</w:t>
      </w:r>
      <w:r>
        <w:t xml:space="preserve"> Bank of </w:t>
      </w:r>
      <w:r>
        <w:rPr>
          <w:rFonts w:hint="eastAsia"/>
        </w:rPr>
        <w:t xml:space="preserve">Australia）的策略师此前提醒，投资者一直在观察未来政府是否会放松财政规则；随着伯纳姆以领跑者姿态几无对手，这一风险已明显消退。当天英国10年期国债收益率维持在4.77%至4.80%附近，英格兰银行行长安德鲁·贝利（Andrew</w:t>
      </w:r>
      <w:r>
        <w:t xml:space="preserve"> </w:t>
      </w:r>
      <w:r>
        <w:rPr>
          <w:rFonts w:hint="eastAsia"/>
        </w:rPr>
        <w:t xml:space="preserve">Bailey）按计划发表讲话，6月货币政策委员会（MPC）会议后基准利率维持在3.75%。</w:t>
      </w:r>
    </w:p>
    <w:p>
      <w:pPr>
        <w:pStyle w:val="BodyText"/>
      </w:pPr>
      <w:r>
        <w:rPr>
          <w:b/>
          <w:bCs/>
        </w:rPr>
        <w:t xml:space="preserve">References</w:t>
      </w:r>
    </w:p>
    <w:p>
      <w:pPr>
        <w:pStyle w:val="BodyText"/>
      </w:pPr>
      <w:r>
        <w:t xml:space="preserve">[1] Exchange Rates UK. (2026, July 3). Pound to Dollar price forecast: GBP surges after US payrolls miss expectations. https://www.exchangerates.org.uk/news/46376/2026-07-03-pound-to-dollar-price-forecast-gbp-surges-after-us-payrolls-miss-expectations.html</w:t>
      </w:r>
    </w:p>
    <w:p>
      <w:pPr>
        <w:pStyle w:val="BodyText"/>
      </w:pPr>
      <w:r>
        <w:t xml:space="preserve">[2] FXStreet. (2026, July 3). Pound Sterling price news and forecast: GBP surges against US Dollar ahead of US NFP data. https://www.fxstreet.com/news/pound-sterling-price-news-and-forecast-gbp-surges-against-us-dollar-ahead-of-us-nfp-data-202607021054</w:t>
      </w:r>
    </w:p>
    <w:p>
      <w:pPr>
        <w:pStyle w:val="BodyText"/>
      </w:pPr>
      <w:r>
        <w:t xml:space="preserve">[3] Al Jazeera. (2026, June 22). Why has Keir Starmer resigned as UK prime minister, and who will take over? https://www.aljazeera.com/news/2026/6/22/why-has-keir-starmer-resigned-as-uk-prime-minister-and-who-will-take-over</w:t>
      </w:r>
    </w:p>
    <w:p>
      <w:r>
        <w:pict>
          <v:rect style="width:0;height:1.5pt" o:hralign="center" o:hrstd="t" o:hr="t"/>
        </w:pict>
      </w:r>
    </w:p>
    <w:bookmarkEnd w:id="9"/>
    <w:bookmarkStart w:id="10" w:name="政治风险溢价消退英镑兑欧元冲击1.17关口"/>
    <w:p>
      <w:pPr>
        <w:pStyle w:val="Heading3"/>
      </w:pPr>
      <w:r>
        <w:rPr>
          <w:rFonts w:hint="eastAsia"/>
        </w:rPr>
        <w:t xml:space="preserve">政治风险溢价消退，英镑兑欧元冲击1.17关口</w:t>
      </w:r>
    </w:p>
    <w:p>
      <w:pPr>
        <w:pStyle w:val="FirstParagraph"/>
      </w:pPr>
      <w:r>
        <w:rPr>
          <w:rFonts w:hint="eastAsia"/>
        </w:rPr>
        <w:t xml:space="preserve">与兑美元的强势相呼应，英镑兑欧元于2026年7月3日刷新一年新高，GBP/EUR正朝€1.17目标位挺进。若说英镑兑美元的行情由美国就业数据点燃，那么这一轮兑欧元的升势更多源于英国自身政治风险溢价的加速回吐。</w:t>
      </w:r>
    </w:p>
    <w:p>
      <w:pPr>
        <w:pStyle w:val="BodyText"/>
      </w:pPr>
      <w:r>
        <w:rPr>
          <w:rFonts w:hint="eastAsia"/>
        </w:rPr>
        <w:t xml:space="preserve">回溯6月22日首相斯塔默宣布辞职时，英镑一度承压跌至约1.3181美元，逼近3月创下的2026年低点1.3159美元。此后行情快速修复，核心逻辑在于市场几乎笃定大曼彻斯特市长安迪·伯纳姆将无竞争对手地出任新首相——工党领导权提名将于7月9日开启、7月16日截止，而伯纳姆已明确承诺恪守工党财政规则，令此前笼罩英镑的政治阴云消散。与此同时，欧元一端亦受到拖累：欧元区通胀数据走软削弱了单一货币，加之美国6月非农仅5.7万人、远逊于预期的11万人所引发的美元普遍走弱，多重因素叠加，共同将英镑兑欧元推向一年高位。</w:t>
      </w:r>
    </w:p>
    <w:p>
      <w:pPr>
        <w:pStyle w:val="BodyText"/>
      </w:pPr>
      <w:r>
        <w:rPr>
          <w:b/>
          <w:bCs/>
        </w:rPr>
        <w:t xml:space="preserve">References</w:t>
      </w:r>
    </w:p>
    <w:p>
      <w:pPr>
        <w:pStyle w:val="BodyText"/>
      </w:pPr>
      <w:r>
        <w:t xml:space="preserve">[4] Exchange Rates UK. (2026, July 3). Pound to Euro July forecast: GBP targets 1.17 on fading UK political risk. https://www.exchangerates.org.uk/news/46370/2026-07-03-pound-to-euro-july-forecast-gbp-targets-1-17-on-fading-uk-political-risk.html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0"/>
    <w:bookmarkEnd w:id="11"/>
    <w:bookmarkStart w:id="13" w:name="二政治与外交"/>
    <w:p>
      <w:pPr>
        <w:pStyle w:val="Heading2"/>
      </w:pPr>
      <w:r>
        <w:rPr>
          <w:rFonts w:hint="eastAsia"/>
        </w:rPr>
        <w:t xml:space="preserve">二、政治与外交</w:t>
      </w:r>
    </w:p>
    <w:bookmarkStart w:id="12" w:name="上议院三读游说透明度自然权利与墓地空间法案"/>
    <w:p>
      <w:pPr>
        <w:pStyle w:val="Heading3"/>
      </w:pPr>
      <w:r>
        <w:rPr>
          <w:rFonts w:hint="eastAsia"/>
        </w:rPr>
        <w:t xml:space="preserve">上议院三读游说透明度、自然权利与墓地空间法案</w:t>
      </w:r>
    </w:p>
    <w:p>
      <w:pPr>
        <w:pStyle w:val="FirstParagraph"/>
      </w:pPr>
      <w:r>
        <w:rPr>
          <w:rFonts w:hint="eastAsia"/>
        </w:rPr>
        <w:t xml:space="preserve">2026年7月3日（周五）下议院休会，上议院照常开工，为三部议员私人法案（Private</w:t>
      </w:r>
      <w:r>
        <w:t xml:space="preserve"> Members’ </w:t>
      </w:r>
      <w:r>
        <w:rPr>
          <w:rFonts w:hint="eastAsia"/>
        </w:rPr>
        <w:t xml:space="preserve">Bills）举行二读审议，议题跨度之大颇为罕见。第一部是《游说透明度（内部游说者）法案》[HL]，由工党上议员海特女男爵（Baroness</w:t>
      </w:r>
      <w:r>
        <w:t xml:space="preserve"> Hayter of Kentish </w:t>
      </w:r>
      <w:r>
        <w:rPr>
          <w:rFonts w:hint="eastAsia"/>
        </w:rPr>
        <w:t xml:space="preserve">Town）提出，旨在将现行仅覆盖专业顾问游说者的法定游说登记制度，扩展至企业内部的游说人员。第二部是《自然权利法案》[HL]，由绿党上议员贝内特女男爵（Baroness</w:t>
      </w:r>
      <w:r>
        <w:t xml:space="preserve"> Bennett of Manor </w:t>
      </w:r>
      <w:r>
        <w:rPr>
          <w:rFonts w:hint="eastAsia"/>
        </w:rPr>
        <w:t xml:space="preserve">Castle）提出，主张赋予英格兰和威尔士的自然界以法律人格与可强制执行的权利，并设立“自然监护委员会”（Nature</w:t>
      </w:r>
      <w:r>
        <w:t xml:space="preserve"> Guardianship </w:t>
      </w:r>
      <w:r>
        <w:rPr>
          <w:rFonts w:hint="eastAsia"/>
        </w:rPr>
        <w:t xml:space="preserve">Council）与“自然权利法庭”（Nature’s</w:t>
      </w:r>
      <w:r>
        <w:t xml:space="preserve"> Rights </w:t>
      </w:r>
      <w:r>
        <w:rPr>
          <w:rFonts w:hint="eastAsia"/>
        </w:rPr>
        <w:t xml:space="preserve">Tribunal），对公共机构、企业及个人课以注意义务。</w:t>
      </w:r>
    </w:p>
    <w:p>
      <w:pPr>
        <w:pStyle w:val="BodyText"/>
      </w:pPr>
      <w:r>
        <w:rPr>
          <w:rFonts w:hint="eastAsia"/>
        </w:rPr>
        <w:t xml:space="preserve">自然权利（Rights</w:t>
      </w:r>
      <w:r>
        <w:t xml:space="preserve"> of </w:t>
      </w:r>
      <w:r>
        <w:rPr>
          <w:rFonts w:hint="eastAsia"/>
        </w:rPr>
        <w:t xml:space="preserve">Nature）并非空想：厄瓜多尔早在2008年即将其写入宪法，新西兰旺加努伊河、哥伦比亚阿特拉托河等均已获法律主体地位；在英国本土，萨塞克斯的乌斯河（River</w:t>
      </w:r>
      <w:r>
        <w:t xml:space="preserve"> </w:t>
      </w:r>
      <w:r>
        <w:rPr>
          <w:rFonts w:hint="eastAsia"/>
        </w:rPr>
        <w:t xml:space="preserve">Ouse）已于2025年被地方当局承认拥有权利。第三部是《地方规划（墓地空间）法案》[HL]，由穆罕默德勋爵（Lord</w:t>
      </w:r>
      <w:r>
        <w:t xml:space="preserve"> Mohammed of </w:t>
      </w:r>
      <w:r>
        <w:rPr>
          <w:rFonts w:hint="eastAsia"/>
        </w:rPr>
        <w:t xml:space="preserve">Tinsley）提出，要求地方政府在编制地方规划时为墓地空间作出安排，以应对城市墓地日趋饱和的现实。三场辩论自上午10点起在议会电视（Parliament</w:t>
      </w:r>
      <w:r>
        <w:t xml:space="preserve"> </w:t>
      </w:r>
      <w:r>
        <w:rPr>
          <w:rFonts w:hint="eastAsia"/>
        </w:rPr>
        <w:t xml:space="preserve">TV）直播，Hansard官方速记稿约在结束三小时后上线。</w:t>
      </w:r>
    </w:p>
    <w:p>
      <w:pPr>
        <w:pStyle w:val="BodyText"/>
      </w:pPr>
      <w:r>
        <w:rPr>
          <w:b/>
          <w:bCs/>
        </w:rPr>
        <w:t xml:space="preserve">References</w:t>
      </w:r>
    </w:p>
    <w:p>
      <w:pPr>
        <w:pStyle w:val="BodyText"/>
      </w:pPr>
      <w:r>
        <w:t xml:space="preserve">[5] UK Parliament. (2026, July 3). What’s on in the Lords: 29 June – 3 July. https://www.parliament.uk/business/news/2026/june-2026/whats-on-in-the-lords-29-june-3-july/</w:t>
      </w:r>
    </w:p>
    <w:p>
      <w:pPr>
        <w:pStyle w:val="BodyText"/>
      </w:pPr>
      <w:r>
        <w:t xml:space="preserve">[6] Hansard Society. (2026, June 29). Parliament Matters Bulletin: 29 June 2026. https://www.hansardsociety.org.uk/news/parliament-matters-bulletin-29-june-2026</w:t>
      </w:r>
    </w:p>
    <w:p>
      <w:pPr>
        <w:pStyle w:val="BodyText"/>
      </w:pPr>
      <w:r>
        <w:t xml:space="preserve">[7] UK Parliament. (2026, July 3). Nature’s Rights Bill [HL]. https://bills.parliament.uk/bills/4131</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2"/>
    <w:bookmarkEnd w:id="13"/>
    <w:bookmarkStart w:id="15" w:name="三科技与产业"/>
    <w:p>
      <w:pPr>
        <w:pStyle w:val="Heading2"/>
      </w:pPr>
      <w:r>
        <w:rPr>
          <w:rFonts w:hint="eastAsia"/>
        </w:rPr>
        <w:t xml:space="preserve">三、科技与产业</w:t>
      </w:r>
    </w:p>
    <w:bookmarkStart w:id="14" w:name="星标银行借ai精简架构裁130岗利润下滑"/>
    <w:p>
      <w:pPr>
        <w:pStyle w:val="Heading3"/>
      </w:pPr>
      <w:r>
        <w:rPr>
          <w:rFonts w:hint="eastAsia"/>
        </w:rPr>
        <w:t xml:space="preserve">星标银行借AI精简架构裁130岗，利润下滑</w:t>
      </w:r>
    </w:p>
    <w:p>
      <w:pPr>
        <w:pStyle w:val="FirstParagraph"/>
      </w:pPr>
      <w:r>
        <w:rPr>
          <w:rFonts w:hint="eastAsia"/>
        </w:rPr>
        <w:t xml:space="preserve">伦敦金融科技公司星标银行（Starling</w:t>
      </w:r>
      <w:r>
        <w:t xml:space="preserve"> </w:t>
      </w:r>
      <w:r>
        <w:rPr>
          <w:rFonts w:hint="eastAsia"/>
        </w:rPr>
        <w:t xml:space="preserve">Bank）2026年7月3日宣布裁撤约130个岗位，对银行与技术运营部门进行重组，以便在新产品推出前更多地借助人工智能。公司称此举将消除“重复”岗位、让交付“更快推进”，受影响员工已于6月30日当周被告知，消息最早由《金融时报》（Financial</w:t>
      </w:r>
      <w:r>
        <w:t xml:space="preserve"> </w:t>
      </w:r>
      <w:r>
        <w:rPr>
          <w:rFonts w:hint="eastAsia"/>
        </w:rPr>
        <w:t xml:space="preserve">Times）披露。星标银行由安妮·博登（Anne</w:t>
      </w:r>
      <w:r>
        <w:t xml:space="preserve"> </w:t>
      </w:r>
      <w:r>
        <w:rPr>
          <w:rFonts w:hint="eastAsia"/>
        </w:rPr>
        <w:t xml:space="preserve">Boden）于2014年创立，是英国首家由女性创办的银行，也是最早实现盈利的挑战者银行（challenger</w:t>
      </w:r>
      <w:r>
        <w:t xml:space="preserve"> </w:t>
      </w:r>
      <w:r>
        <w:rPr>
          <w:rFonts w:hint="eastAsia"/>
        </w:rPr>
        <w:t xml:space="preserve">bank）之一。</w:t>
      </w:r>
    </w:p>
    <w:p>
      <w:pPr>
        <w:pStyle w:val="BodyText"/>
      </w:pPr>
      <w:r>
        <w:rPr>
          <w:rFonts w:hint="eastAsia"/>
        </w:rPr>
        <w:t xml:space="preserve">不过最新财报显示增长承压：税前利润下滑3%至2.17亿英镑，营收下降5.6%至8.87亿英镑，其中利息收入减少5250万英镑至7.592亿英镑，主因是英格兰银行基准利率在过去一年内平均下调约91个基点。相比之下，其面向外部银行输出核心系统的SaaS业务Engine表现亮眼，获得2000万英镑投资，营收增长24.5%至7000万英镑。管理层也在换血：科林·贝尔（Colin</w:t>
      </w:r>
      <w:r>
        <w:t xml:space="preserve"> </w:t>
      </w:r>
      <w:r>
        <w:rPr>
          <w:rFonts w:hint="eastAsia"/>
        </w:rPr>
        <w:t xml:space="preserve">Bell）于2026年6月出任董事长，接替戴维·斯普劳尔（David</w:t>
      </w:r>
      <w:r>
        <w:t xml:space="preserve"> </w:t>
      </w:r>
      <w:r>
        <w:rPr>
          <w:rFonts w:hint="eastAsia"/>
        </w:rPr>
        <w:t xml:space="preserve">Sproul）；董事马库斯·特雷尔（Marcus</w:t>
      </w:r>
      <w:r>
        <w:t xml:space="preserve"> </w:t>
      </w:r>
      <w:r>
        <w:rPr>
          <w:rFonts w:hint="eastAsia"/>
        </w:rPr>
        <w:t xml:space="preserve">Traill）与理查德·沃茨（Richard</w:t>
      </w:r>
      <w:r>
        <w:t xml:space="preserve"> </w:t>
      </w:r>
      <w:r>
        <w:rPr>
          <w:rFonts w:hint="eastAsia"/>
        </w:rPr>
        <w:t xml:space="preserve">Watts）已离任，特雷西·克拉克（Tracy</w:t>
      </w:r>
      <w:r>
        <w:t xml:space="preserve"> </w:t>
      </w:r>
      <w:r>
        <w:rPr>
          <w:rFonts w:hint="eastAsia"/>
        </w:rPr>
        <w:t xml:space="preserve">Clarke）也即将离开。星标银行在声明中表示：“我们正在调整银行团队结构的部分环节，以简化运营方式、减少重复情形，并加快推动产品交付。”</w:t>
      </w:r>
    </w:p>
    <w:p>
      <w:pPr>
        <w:pStyle w:val="BodyText"/>
      </w:pPr>
      <w:r>
        <w:rPr>
          <w:b/>
          <w:bCs/>
        </w:rPr>
        <w:t xml:space="preserve">References</w:t>
      </w:r>
    </w:p>
    <w:p>
      <w:pPr>
        <w:pStyle w:val="BodyText"/>
      </w:pPr>
      <w:r>
        <w:t xml:space="preserve">[8] City A.M. (2026, July 3). UK fintech Starling to axe 130 roles in AI-powered simplification drive. https://www.cityam.com/uk-fintech-starling-to-axe-130-roles-in-ai-powered-simplification-drive/</w:t>
      </w:r>
    </w:p>
    <w:p>
      <w:pPr>
        <w:pStyle w:val="BodyText"/>
      </w:pPr>
      <w:r>
        <w:t xml:space="preserve">[9] Financial Times. (2026, July 3). Starling Bank to cut 130 jobs. https://www.ft.com/</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End w:id="15"/>
    <w:bookmarkStart w:id="17" w:name="四社会与民生"/>
    <w:p>
      <w:pPr>
        <w:pStyle w:val="Heading2"/>
      </w:pPr>
      <w:r>
        <w:rPr>
          <w:rFonts w:hint="eastAsia"/>
        </w:rPr>
        <w:t xml:space="preserve">四、社会与民生</w:t>
      </w:r>
    </w:p>
    <w:bookmarkStart w:id="16" w:name="住房委员会促强化租客保护awaab法案拟推向私租市场"/>
    <w:p>
      <w:pPr>
        <w:pStyle w:val="Heading3"/>
      </w:pPr>
      <w:r>
        <w:rPr>
          <w:rFonts w:hint="eastAsia"/>
        </w:rPr>
        <w:t xml:space="preserve">住房委员会促强化租客保护，Awaab法案拟推向私租市场</w:t>
      </w:r>
    </w:p>
    <w:p>
      <w:pPr>
        <w:pStyle w:val="FirstParagraph"/>
      </w:pPr>
      <w:r>
        <w:rPr>
          <w:rFonts w:hint="eastAsia"/>
        </w:rPr>
        <w:t xml:space="preserve">英国下议院住房、社区与地方政府（HCLG）特别委员会2026年7月3日发布题为《私人租赁部门住房状况》（Housing</w:t>
      </w:r>
      <w:r>
        <w:t xml:space="preserve"> Conditions in the Private Rented </w:t>
      </w:r>
      <w:r>
        <w:rPr>
          <w:rFonts w:hint="eastAsia"/>
        </w:rPr>
        <w:t xml:space="preserve">Sector）的报告，敦促政府加快落实租客保护措施，并强化对《2025年租客权利法》（Renters’</w:t>
      </w:r>
      <w:r>
        <w:t xml:space="preserve"> Rights Act </w:t>
      </w:r>
      <w:r>
        <w:rPr>
          <w:rFonts w:hint="eastAsia"/>
        </w:rPr>
        <w:t xml:space="preserve">2025）的执法力度。委员会由弗洛伦斯·埃沙洛米（Florence</w:t>
      </w:r>
      <w:r>
        <w:t xml:space="preserve"> </w:t>
      </w:r>
      <w:r>
        <w:rPr>
          <w:rFonts w:hint="eastAsia"/>
        </w:rPr>
        <w:t xml:space="preserve">Eshalomi）议员担任主席。</w:t>
      </w:r>
    </w:p>
    <w:p>
      <w:pPr>
        <w:pStyle w:val="BodyText"/>
      </w:pPr>
      <w:r>
        <w:rPr>
          <w:rFonts w:hint="eastAsia"/>
        </w:rPr>
        <w:t xml:space="preserve">报告最受关注的建议，是将“Awaab法案”（Awaab’s</w:t>
      </w:r>
      <w:r>
        <w:t xml:space="preserve"> </w:t>
      </w:r>
      <w:r>
        <w:rPr>
          <w:rFonts w:hint="eastAsia"/>
        </w:rPr>
        <w:t xml:space="preserve">Law）推广至私人租赁市场。该法案得名于两岁男童Awaab</w:t>
      </w:r>
      <w:r>
        <w:t xml:space="preserve"> </w:t>
      </w:r>
      <w:r>
        <w:rPr>
          <w:rFonts w:hint="eastAsia"/>
        </w:rPr>
        <w:t xml:space="preserve">Ishak——他2020年12月因长期暴露于罗奇代尔一处社会住房的黑霉环境而死于呼吸系统疾病，验尸官认定房屋通风不良、潮湿严重，其父早在2017年即报告霉患却被告知“刷层漆盖过去”。此案震动全国，催生了强制房东在限定时限内处理潮湿霉害的立法，目前仅适用于社会住房。委员会建议2026年将其扩展至私租市场，2028/29年底前全面实施；同时把“体面住房标准”（Decent</w:t>
      </w:r>
      <w:r>
        <w:t xml:space="preserve"> Homes </w:t>
      </w:r>
      <w:r>
        <w:rPr>
          <w:rFonts w:hint="eastAsia"/>
        </w:rPr>
        <w:t xml:space="preserve">Standard）延伸至私人租赁（2035年达标），并为地方议会配备主动执法所需资源、扩充私人租赁部门数据库。报告还警告防范以涨租变相“经济性驱逐”，呼吁解冻地方住房津贴（Local</w:t>
      </w:r>
      <w:r>
        <w:t xml:space="preserve"> Housing </w:t>
      </w:r>
      <w:r>
        <w:rPr>
          <w:rFonts w:hint="eastAsia"/>
        </w:rPr>
        <w:t xml:space="preserve">Allowance），使其至少挂钩当地市场租金的第30百分位。埃沙洛米表示：“政府对租客权利的改革值得欢迎，能够为改善租户居住条件作出重要贡献，帮助人们住进安全稳固、并受到房东公平对待的家。”</w:t>
      </w:r>
    </w:p>
    <w:p>
      <w:pPr>
        <w:pStyle w:val="BodyText"/>
      </w:pPr>
      <w:r>
        <w:rPr>
          <w:b/>
          <w:bCs/>
        </w:rPr>
        <w:t xml:space="preserve">References</w:t>
      </w:r>
    </w:p>
    <w:p>
      <w:pPr>
        <w:pStyle w:val="BodyText"/>
      </w:pPr>
      <w:r>
        <w:t xml:space="preserve">[10] Housing Digital. (2026, July 3). MPs demand further strengthening of renters’ protections. https://housingdigital.co.uk/mps-demand-further-strengthening-of-renters-protections/</w:t>
      </w:r>
    </w:p>
    <w:p>
      <w:pPr>
        <w:pStyle w:val="BodyText"/>
      </w:pPr>
      <w:r>
        <w:t xml:space="preserve">[11] UK Parliament. (2026, July 3). Housing, Communities and Local Government Committee news. https://committees.parliament.uk/committee/17/housing-communities-and-local-government-committee/news/214663/</w:t>
      </w:r>
    </w:p>
    <w:p>
      <w:pPr>
        <w:pStyle w:val="BodyText"/>
      </w:pPr>
      <w:r>
        <w:t xml:space="preserve">[12] Innovation News Network. (2026, July 3). Awaab’s Law and the boy behind it: How a two-year-old’s death from mould changed Britain’s housing rules. https://www.innovationnewsnetwork.com/awaabs-law-and-the-boy-behind-it/61857/</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End w:id="17"/>
    <w:bookmarkStart w:id="19" w:name="五企业ipo与并购"/>
    <w:p>
      <w:pPr>
        <w:pStyle w:val="Heading2"/>
      </w:pPr>
      <w:r>
        <w:rPr>
          <w:rFonts w:hint="eastAsia"/>
        </w:rPr>
        <w:t xml:space="preserve">五、企业IPO与并购</w:t>
      </w:r>
    </w:p>
    <w:bookmarkStart w:id="18" w:name="X63151481c2ae68efcabafc87d22c48e4dccd436"/>
    <w:p>
      <w:pPr>
        <w:pStyle w:val="Heading3"/>
      </w:pPr>
      <w:r>
        <w:rPr>
          <w:rFonts w:hint="eastAsia"/>
        </w:rPr>
        <w:t xml:space="preserve">德国Renk拟至多2.5亿美元收购英国海军供应商David</w:t>
      </w:r>
      <w:r>
        <w:t xml:space="preserve"> Brown Defence</w:t>
      </w:r>
    </w:p>
    <w:p>
      <w:pPr>
        <w:pStyle w:val="FirstParagraph"/>
      </w:pPr>
      <w:r>
        <w:rPr>
          <w:rFonts w:hint="eastAsia"/>
        </w:rPr>
        <w:t xml:space="preserve">在法兰克福上市的德国国防企业Renk集团2026年7月3日（周五）宣布，已达成协议收购英国海军装备制造商David</w:t>
      </w:r>
      <w:r>
        <w:t xml:space="preserve"> Brown </w:t>
      </w:r>
      <w:r>
        <w:rPr>
          <w:rFonts w:hint="eastAsia"/>
        </w:rPr>
        <w:t xml:space="preserve">Defence。这家总部位于哈德斯菲尔德（Huddersfield）的私营企业创立于1902年，专为潜艇及水面舰艇制造齿轮箱与推进机械，服务于英国、加拿大、澳大利亚的多个海军项目。卖方为David</w:t>
      </w:r>
      <w:r>
        <w:t xml:space="preserve"> Brown </w:t>
      </w:r>
      <w:r>
        <w:rPr>
          <w:rFonts w:hint="eastAsia"/>
        </w:rPr>
        <w:t xml:space="preserve">Santasalo，其背后所有者是美国私募股权公司Stellex</w:t>
      </w:r>
      <w:r>
        <w:t xml:space="preserve"> Capital </w:t>
      </w:r>
      <w:r>
        <w:rPr>
          <w:rFonts w:hint="eastAsia"/>
        </w:rPr>
        <w:t xml:space="preserve">Management。双方未披露交易金额，据彭博社（Bloomberg）报道，估值区间约在2亿至2.5亿美元；交易尚待监管批准，预计2026年第四季度完成。</w:t>
      </w:r>
    </w:p>
    <w:p>
      <w:pPr>
        <w:pStyle w:val="BodyText"/>
      </w:pPr>
      <w:r>
        <w:rPr>
          <w:rFonts w:hint="eastAsia"/>
        </w:rPr>
        <w:t xml:space="preserve">这笔收购的战略意味颇浓。David</w:t>
      </w:r>
      <w:r>
        <w:t xml:space="preserve"> Brown </w:t>
      </w:r>
      <w:r>
        <w:rPr>
          <w:rFonts w:hint="eastAsia"/>
        </w:rPr>
        <w:t xml:space="preserve">Defence掌握潜艇低噪声、低振动推进系统的独特技术，被视为下一代潜艇平台的关键，同时为Renk打开通往“五眼”（Five</w:t>
      </w:r>
      <w:r>
        <w:t xml:space="preserve"> </w:t>
      </w:r>
      <w:r>
        <w:rPr>
          <w:rFonts w:hint="eastAsia"/>
        </w:rPr>
        <w:t xml:space="preserve">Eyes）国家高价值海军项目的通道，其2026至2030年订单储备逾7亿英镑。交易正值全球防务开支上行的大背景——北约（NATO）正推动成员国到2035年将国防支出提升至GDP的5%，英国也在同一周稍早宣布了新的国防投资。鉴于涉及潜艇供应链等敏感领域，该交易尚需通过常规监管审批。Renk表示：“此次收购是对Renk现有海军板块业务组合具有战略重要性的补充。”</w:t>
      </w:r>
    </w:p>
    <w:p>
      <w:pPr>
        <w:pStyle w:val="BodyText"/>
      </w:pPr>
      <w:r>
        <w:rPr>
          <w:b/>
          <w:bCs/>
        </w:rPr>
        <w:t xml:space="preserve">References</w:t>
      </w:r>
    </w:p>
    <w:p>
      <w:pPr>
        <w:pStyle w:val="BodyText"/>
      </w:pPr>
      <w:r>
        <w:t xml:space="preserve">[13] Yahoo Finance. (2026, July 3). Germany’s Renk to buy UK naval supplier David Brown Defence. https://finance.yahoo.com/markets/stocks/articles/germany-renk-buy-uk-naval-091930341.html</w:t>
      </w:r>
    </w:p>
    <w:p>
      <w:pPr>
        <w:pStyle w:val="BodyText"/>
      </w:pPr>
      <w:r>
        <w:t xml:space="preserve">[14] Bloomberg. (2026, July 3). Renk to buy David Brown Defence. https://www.bloomberg.com/</w:t>
      </w:r>
    </w:p>
    <w:p>
      <w:pPr>
        <w:pStyle w:val="BodyText"/>
      </w:pPr>
      <w:r>
        <w:t xml:space="preserve">[15] UK Defence Journal. (2026, July 3). RENK to buy UK naval gearbox maker David Brown Defence. https://ukdefencejournal.org.uk/renk-to-buy-uk-naval-gearbox-maker-david-brown-defence/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1" w:name="六其他重要事件"/>
    <w:p>
      <w:pPr>
        <w:pStyle w:val="Heading2"/>
      </w:pPr>
      <w:r>
        <w:rPr>
          <w:rFonts w:hint="eastAsia"/>
        </w:rPr>
        <w:t xml:space="preserve">六、其他重要事件</w:t>
      </w:r>
    </w:p>
    <w:bookmarkStart w:id="20" w:name="英国政府政策综述医生结束罢工青年就业补贴热泵补贴与无家可归者计划齐推"/>
    <w:p>
      <w:pPr>
        <w:pStyle w:val="Heading3"/>
      </w:pPr>
      <w:r>
        <w:rPr>
          <w:rFonts w:hint="eastAsia"/>
        </w:rPr>
        <w:t xml:space="preserve">英国政府政策综述，医生结束罢工，青年就业补贴、热泵补贴与无家可归者计划齐推</w:t>
      </w:r>
    </w:p>
    <w:p>
      <w:pPr>
        <w:pStyle w:val="FirstParagraph"/>
      </w:pPr>
      <w:r>
        <w:rPr>
          <w:rFonts w:hint="eastAsia"/>
        </w:rPr>
        <w:t xml:space="preserve">工党媒体LabourList于2026年7月3日刊发一周政策综述（作者Sebastian</w:t>
      </w:r>
      <w:r>
        <w:t xml:space="preserve"> </w:t>
      </w:r>
      <w:r>
        <w:rPr>
          <w:rFonts w:hint="eastAsia"/>
        </w:rPr>
        <w:t xml:space="preserve">Salek），密集勾勒出政府近日的多项动作。其中最受瞩目的，是英格兰住院医师（resident</w:t>
      </w:r>
      <w:r>
        <w:t xml:space="preserve"> </w:t>
      </w:r>
      <w:r>
        <w:rPr>
          <w:rFonts w:hint="eastAsia"/>
        </w:rPr>
        <w:t xml:space="preserve">doctors）以53%赞成票（投票率57%、共32,932票）接受工党的薪酬方案，为自2023年以来累计15轮工业行动画上句号。这场旷日持久的争端曾历经数度反复，此番协议在四年内提供平均35.2%的综合薪酬提升、4,500个新专科培训名额，薪资自2026年4月起追溯发放。卫生大臣詹姆斯·默里（James</w:t>
      </w:r>
      <w:r>
        <w:t xml:space="preserve"> </w:t>
      </w:r>
      <w:r>
        <w:rPr>
          <w:rFonts w:hint="eastAsia"/>
        </w:rPr>
        <w:t xml:space="preserve">Murray）表示：“这对住院医师、患者乃至整个NHS都是天大的好消息，让我们得以为这段混乱划上句号。”</w:t>
      </w:r>
    </w:p>
    <w:p>
      <w:pPr>
        <w:pStyle w:val="BodyText"/>
      </w:pPr>
      <w:r>
        <w:rPr>
          <w:rFonts w:hint="eastAsia"/>
        </w:rPr>
        <w:t xml:space="preserve">其余政策同样密集。其一，“青年就业补贴”（Youth</w:t>
      </w:r>
      <w:r>
        <w:t xml:space="preserve"> Jobs </w:t>
      </w:r>
      <w:r>
        <w:rPr>
          <w:rFonts w:hint="eastAsia"/>
        </w:rPr>
        <w:t xml:space="preserve">Grant）于6月30日开放申请，雇主每聘用一名符合条件的失业青年（18至24岁、领取通用信贷且失业6个月以上）可获3,000英镑，三年内目标惠及至多6万名年轻人，默林娱乐（Merlin</w:t>
      </w:r>
      <w:r>
        <w:t xml:space="preserve"> </w:t>
      </w:r>
      <w:r>
        <w:rPr>
          <w:rFonts w:hint="eastAsia"/>
        </w:rPr>
        <w:t xml:space="preserve">Entertainments）已确认提供300个岗位。就业与养老金大臣帕特·麦克法登（Pat</w:t>
      </w:r>
      <w:r>
        <w:t xml:space="preserve"> </w:t>
      </w:r>
      <w:r>
        <w:rPr>
          <w:rFonts w:hint="eastAsia"/>
        </w:rPr>
        <w:t xml:space="preserve">McFadden）议员称：“年轻人渴望获得工作、挣钱、学习并建设更美好未来的机会。”其二，“锅炉升级计划”（Boiler</w:t>
      </w:r>
      <w:r>
        <w:t xml:space="preserve"> Upgrade </w:t>
      </w:r>
      <w:r>
        <w:rPr>
          <w:rFonts w:hint="eastAsia"/>
        </w:rPr>
        <w:t xml:space="preserve">Scheme）针对英格兰与威尔士非燃气管网的燃油供暖家庭，补贴由7,500英镑上调至9,000英镑，2026年7月21日至2027年3月31日有效，约20万户符合条件。其三，1824年《流浪法》（Vagrancy</w:t>
      </w:r>
      <w:r>
        <w:t xml:space="preserve"> </w:t>
      </w:r>
      <w:r>
        <w:rPr>
          <w:rFonts w:hint="eastAsia"/>
        </w:rPr>
        <w:t xml:space="preserve">Act）自6月29日起废除，纳入政府为期三年、总额36亿英镑的《全国终结无家可归计划》，其中9.5亿英镑用于减少家庭寄宿于B&amp;B旅馆。住房大臣史蒂夫·里德（Steve</w:t>
      </w:r>
      <w:r>
        <w:t xml:space="preserve"> </w:t>
      </w:r>
      <w:r>
        <w:rPr>
          <w:rFonts w:hint="eastAsia"/>
        </w:rPr>
        <w:t xml:space="preserve">Reed）OBE议员表示：“无家可归者不是罪犯，他们是需要帮助的人。”此外，家庭杀人案的基准最低刑期由15年提高至25年；一个由财政部、Nationwide、汇丰英国（HSBC</w:t>
      </w:r>
      <w:r>
        <w:t xml:space="preserve"> </w:t>
      </w:r>
      <w:r>
        <w:rPr>
          <w:rFonts w:hint="eastAsia"/>
        </w:rPr>
        <w:t xml:space="preserve">UK）参与的专项小组启动，帮助逾75万名年轻人认领已到期的儿童信托基金账户（平均约2,200英镑）；PIP、工作能力评估及工伤伤残津贴的健康评估自6月29日起默认录音，覆盖率由此前不足3%大幅提升。残障事务大臣斯蒂芬·蒂姆斯（Stephen</w:t>
      </w:r>
      <w:r>
        <w:t xml:space="preserve"> </w:t>
      </w:r>
      <w:r>
        <w:rPr>
          <w:rFonts w:hint="eastAsia"/>
        </w:rPr>
        <w:t xml:space="preserve">Timms）称：“将健康评估录音作为常规做法，意味着我们能够据此作出改进、提升评估质量。”</w:t>
      </w:r>
    </w:p>
    <w:p>
      <w:pPr>
        <w:pStyle w:val="BodyText"/>
      </w:pPr>
      <w:r>
        <w:rPr>
          <w:b/>
          <w:bCs/>
        </w:rPr>
        <w:t xml:space="preserve">References</w:t>
      </w:r>
    </w:p>
    <w:p>
      <w:pPr>
        <w:pStyle w:val="BodyText"/>
      </w:pPr>
      <w:r>
        <w:t xml:space="preserve">[16] Salek, S. (2026, July 3). Good news: 3 July 2026. LabourList. https://labourlist.org/2026/07/good-news-3-july-2026/</w:t>
      </w:r>
    </w:p>
    <w:p>
      <w:pPr>
        <w:pStyle w:val="BodyText"/>
      </w:pPr>
      <w:r>
        <w:t xml:space="preserve">[17] GOV.UK. (2026, July 3). Funding for businesses who give youngsters a chance as government ramps up youth jobs drive. https://www.gov.uk/government/news/funding-for-businesses-who-give-youngsters-a-chance-as-government-ramps-up-youth-jobs-drive</w:t>
      </w:r>
    </w:p>
    <w:p>
      <w:pPr>
        <w:pStyle w:val="BodyText"/>
      </w:pPr>
      <w:r>
        <w:t xml:space="preserve">[18] GOV.UK. (2026, June 29). Rough sleeping no longer a crime as Vagrancy Act repealed. https://www.gov.uk/government/news/rough-sleeping-no-longer-a-crime-as-vagrancy-act-repealed</w:t>
      </w:r>
    </w:p>
    <w:p>
      <w:pPr>
        <w:pStyle w:val="BodyText"/>
      </w:pPr>
      <w:r>
        <w:t xml:space="preserve">[19] LBC. (2026, July 3). Resident doctors in England vote to accept government pay deal. https://www.lbc.co.uk/article/resident-doctors-england-vote-accept-government-pay-deal-5HjdcJM_2/</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2026-07-03T12:44:25Z</dcterms:created>
  <dcterms:modified xsi:type="dcterms:W3CDTF">2026-07-03T12:44:25Z</dcterms:modified>
</cp:coreProperties>
</file>

<file path=docProps/custom.xml><?xml version="1.0" encoding="utf-8"?>
<Properties xmlns="http://schemas.openxmlformats.org/officeDocument/2006/custom-properties" xmlns:vt="http://schemas.openxmlformats.org/officeDocument/2006/docPropsVTypes"/>
</file>