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a1f1fffeb6800373161179e25510ba7b22025f"/>
    <w:p>
      <w:pPr>
        <w:pStyle w:val="Heading1"/>
      </w:pPr>
      <w:r>
        <w:t xml:space="preserve">United Kingdom Daily News Intelligence — July 3, 2026</w:t>
      </w:r>
    </w:p>
    <w:bookmarkStart w:id="11" w:name="economy-markets"/>
    <w:p>
      <w:pPr>
        <w:pStyle w:val="Heading2"/>
      </w:pPr>
      <w:r>
        <w:t xml:space="preserve">1. Economy &amp; Markets</w:t>
      </w:r>
    </w:p>
    <w:bookmarkStart w:id="9" w:name="Xfbb1282e755f5030e577591443a9cd549fd8b9f"/>
    <w:p>
      <w:pPr>
        <w:pStyle w:val="Heading3"/>
      </w:pPr>
      <w:r>
        <w:t xml:space="preserve">GBP Surges Against US Dollar to Two-Week High After Weak US June Payrolls Miss Expectations</w:t>
      </w:r>
    </w:p>
    <w:p>
      <w:pPr>
        <w:pStyle w:val="FirstParagraph"/>
      </w:pPr>
      <w:r>
        <w:t xml:space="preserve">Sterling jumped to a two-week high against the US dollar on Friday 3 July 2026, with GBP/USD trading at approximately $1.3377, up roughly 0.7% on the day, after a startlingly weak US labour report knocked the greenback. The US economy added only 57,000 jobs in June, well below forecasts of around 110,000 and the weakest reading in months, with the prior April and May figures both revised lower. The miss forced traders to slash their bets on further Federal Reserve tightening: the implied probability of another rate hike before year-end fell from roughly 70% to about 50%, dragging the dollar broadly weaker. Sterling had extra support from home. UK political uncertainty — acute since Prime Minister Keir Starmer announced his resignation on 22 June — has been easing now that Andy Burnham, the Greater Manchester Mayor and sole declared candidate in the Labour leadership contest, has committed to the party’s existing fiscal rules. Strategists at Commonwealth Bank of Australia had flagged that investors were watching closely whether a future government might relax those rules, a risk that faded as Burnham became the uncontested frontrunner. UK gilts were steady, with the 10-year yield near 4.77–4.80%, and Bank of England Governor Andrew Bailey was scheduled to speak; the Bank Rate remained at 3.75% following the June MPC meeting.</w:t>
      </w:r>
    </w:p>
    <w:p>
      <w:pPr>
        <w:pStyle w:val="BodyText"/>
      </w:pPr>
      <w:r>
        <w:rPr>
          <w:b/>
          <w:bCs/>
        </w:rPr>
        <w:t xml:space="preserve">References</w:t>
      </w:r>
    </w:p>
    <w:p>
      <w:pPr>
        <w:pStyle w:val="BodyText"/>
      </w:pPr>
      <w:r>
        <w:t xml:space="preserve">[1] Exchange Rates UK. (2026, July 3). Pound to dollar price forecast: GBP surges after US payrolls miss expectations. https://www.exchangerates.org.uk/news/46376/2026-07-03-pound-to-dollar-price-forecast-gbp-surges-after-us-payrolls-miss-expectations.html</w:t>
      </w:r>
      <w:r>
        <w:t xml:space="preserve"> </w:t>
      </w:r>
      <w:r>
        <w:t xml:space="preserve">[2] FXStreet. (2026, July 3). Pound Sterling price news and forecast: GBP surges against US Dollar ahead of US NFP data. https://www.fxstreet.com/news/pound-sterling-price-news-and-forecast-gbp-surges-against-us-dollar-ahead-of-us-nfp-data-202607021054</w:t>
      </w:r>
    </w:p>
    <w:p>
      <w:r>
        <w:pict>
          <v:rect style="width:0;height:1.5pt" o:hralign="center" o:hrstd="t" o:hr="t"/>
        </w:pict>
      </w:r>
    </w:p>
    <w:bookmarkEnd w:id="9"/>
    <w:bookmarkStart w:id="10" w:name="X44b9546bd9d69a1be7a58814fce029cad0ade0f"/>
    <w:p>
      <w:pPr>
        <w:pStyle w:val="Heading3"/>
      </w:pPr>
      <w:r>
        <w:t xml:space="preserve">Pound Targets €1.17 Against the Euro in July as UK Political Risk Premium Fades</w:t>
      </w:r>
    </w:p>
    <w:p>
      <w:pPr>
        <w:pStyle w:val="FirstParagraph"/>
      </w:pPr>
      <w:r>
        <w:t xml:space="preserve">The pound climbed to a fresh one-year high against the euro on 3 July 2026, with analysts pointing GBP/EUR toward €1.17 as the political risk premium that had weighed on sterling drained away. That premium built up fast after Prime Minister Keir Starmer’s shock resignation announcement on 22 June, which came amid the surging popularity of Reform UK and heavy Labour losses in May’s council elections; sterling had slid to around $1.3181, near its 2026 low of $1.3159 set in March. The recovery since has been driven by the near-certainty that Andy Burnham, the Greater Manchester Mayor who returned to Parliament via the Makerfield by-election, will become prime minister unopposed — nominations open on 9 July and close on 16 July — and by his pledge to stick to Labour’s fiscal rules. The euro side of the pair was also soft, pressured by weaker Eurozone inflation data, while broad dollar weakness after the US non-farm payrolls print of 57,000 against 110,000 expected added to sterling’s momentum. Where the previous session’s move against the dollar was catalysed by the US jobs miss, this euro-cross rally is more a story of domestic political fog lifting.</w:t>
      </w:r>
    </w:p>
    <w:p>
      <w:pPr>
        <w:pStyle w:val="BodyText"/>
      </w:pPr>
      <w:r>
        <w:rPr>
          <w:b/>
          <w:bCs/>
        </w:rPr>
        <w:t xml:space="preserve">References</w:t>
      </w:r>
    </w:p>
    <w:p>
      <w:pPr>
        <w:pStyle w:val="BodyText"/>
      </w:pPr>
      <w:r>
        <w:t xml:space="preserve">[3] Exchange Rates UK. (2026, July 3). Pound to euro July forecast: GBP targets 1.17 on fading UK political risk. https://www.exchangerates.org.uk/news/46370/2026-07-03-pound-to-euro-july-forecast-gbp-targets-1-17-on-fading-uk-political-risk.html</w:t>
      </w:r>
      <w:r>
        <w:t xml:space="preserve"> </w:t>
      </w:r>
      <w:r>
        <w:t xml:space="preserve">[4] Al Jazeera. (2026, June 22). Why has Keir Starmer resigned as UK prime minister, and who will take over? https://www.aljazeera.com/news/2026/6/22/why-has-keir-starmer-resigned-as-uk-prime-minister-and-who-will-take-over</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0"/>
    <w:bookmarkEnd w:id="11"/>
    <w:bookmarkStart w:id="13" w:name="politics-diplomacy"/>
    <w:p>
      <w:pPr>
        <w:pStyle w:val="Heading2"/>
      </w:pPr>
      <w:r>
        <w:t xml:space="preserve">2. Politics &amp; Diplomacy</w:t>
      </w:r>
    </w:p>
    <w:bookmarkStart w:id="12" w:name="X7f5c6adfaec16b794fe9e76522a1d68230e07b3"/>
    <w:p>
      <w:pPr>
        <w:pStyle w:val="Heading3"/>
      </w:pPr>
      <w:r>
        <w:t xml:space="preserve">House of Lords Holds Second Readings on Lobbying Transparency, Nature’s Rights and Burial Space Bills</w:t>
      </w:r>
    </w:p>
    <w:p>
      <w:pPr>
        <w:pStyle w:val="FirstParagraph"/>
      </w:pPr>
      <w:r>
        <w:t xml:space="preserve">With the House of Commons not sitting, the House of Lords devoted Friday 3 July 2026 to the second readings of three Private Members’ Bills, each testing a distinct frontier of public policy. The Lobbying Transparency (In-house Lobbyists) Bill [HL], sponsored by Baroness Hayter of Kentish Town (Labour), would extend the UK’s statutory lobbying register — which currently captures only consultant lobbyists working on behalf of clients — to cover in-house lobbyists employed directly by companies and organisations, closing a long-criticised gap in transparency. The more radical Nature’s Rights Bill [HL], introduced by Baroness Bennett of Manor Castle of the Green Party, would grant legal personhood and enforceable rights to nature in England and Wales, establishing a Nature Guardianship Council and a Nature’s Rights Tribunal and placing a duty of care on public bodies, businesses and individuals. Third, the Local Plans (Burial Space) Bill [HL], introduced by Lord Mohammed of Tinsley, would require local authorities to make provision for burial space within their local plans, responding to a growing shortage of cemetery capacity. The debates were carried live on Parliament TV from 10am, with Hansard transcripts available roughly three hours after. As Private Members’ Bills starting in the Lords, all three face a long road to becoming law, but their readings put the issues on the parliamentary record.</w:t>
      </w:r>
    </w:p>
    <w:p>
      <w:pPr>
        <w:pStyle w:val="BodyText"/>
      </w:pPr>
      <w:r>
        <w:rPr>
          <w:b/>
          <w:bCs/>
        </w:rPr>
        <w:t xml:space="preserve">References</w:t>
      </w:r>
    </w:p>
    <w:p>
      <w:pPr>
        <w:pStyle w:val="BodyText"/>
      </w:pPr>
      <w:r>
        <w:t xml:space="preserve">[5] UK Parliament. (2026, July 3). What’s on in the Lords: 29 June - 3 July. https://www.parliament.uk/business/news/2026/june-2026/whats-on-in-the-lords-29-june-3-july/</w:t>
      </w:r>
      <w:r>
        <w:t xml:space="preserve"> </w:t>
      </w:r>
      <w:r>
        <w:t xml:space="preserve">[6] Hansard Society. (2026, June 29). Parliament Matters Bulletin: 29 June 2026. https://www.hansardsociety.org.uk/news/parliament-matters-bulletin-29-june-2026</w:t>
      </w:r>
      <w:r>
        <w:t xml:space="preserve"> </w:t>
      </w:r>
      <w:r>
        <w:t xml:space="preserve">[7] UK Parliament. (2026, July 3). Nature’s Rights Bill [HL]. https://bills.parliament.uk/bills/4131</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2"/>
    <w:bookmarkEnd w:id="13"/>
    <w:bookmarkStart w:id="15" w:name="technology-industry"/>
    <w:p>
      <w:pPr>
        <w:pStyle w:val="Heading2"/>
      </w:pPr>
      <w:r>
        <w:t xml:space="preserve">3. Technology &amp; Industry</w:t>
      </w:r>
    </w:p>
    <w:bookmarkStart w:id="14" w:name="Xbf34280053dcfaa938c942de09aa0645aff62e1"/>
    <w:p>
      <w:pPr>
        <w:pStyle w:val="Heading3"/>
      </w:pPr>
      <w:r>
        <w:t xml:space="preserve">Starling Bank to Cut 130 Roles in AI-Powered Simplification Drive as Profit Slides</w:t>
      </w:r>
    </w:p>
    <w:p>
      <w:pPr>
        <w:pStyle w:val="FirstParagraph"/>
      </w:pPr>
      <w:r>
        <w:t xml:space="preserve">London fintech Starling Bank announced on 3 July 2026 that it is cutting approximately 130 roles, restructuring its banking and technology operations to lean on artificial intelligence ahead of a wave of new product launches. The move — first reported by the Financial Times, with affected staff told during the week of 30 June — targets what the bank called</w:t>
      </w:r>
      <w:r>
        <w:t xml:space="preserve"> </w:t>
      </w:r>
      <w:r>
        <w:t xml:space="preserve">“duplicate”</w:t>
      </w:r>
      <w:r>
        <w:t xml:space="preserve"> </w:t>
      </w:r>
      <w:r>
        <w:t xml:space="preserve">roles so that delivery can</w:t>
      </w:r>
      <w:r>
        <w:t xml:space="preserve"> </w:t>
      </w:r>
      <w:r>
        <w:t xml:space="preserve">“move faster.”</w:t>
      </w:r>
      <w:r>
        <w:t xml:space="preserve"> </w:t>
      </w:r>
      <w:r>
        <w:t xml:space="preserve">In a statement, Starling said:</w:t>
      </w:r>
      <w:r>
        <w:t xml:space="preserve"> </w:t>
      </w:r>
      <w:r>
        <w:t xml:space="preserve">“We are changing parts of our banking team structure to simplify how we operate, reduce instances of duplication, and drive further product delivery at pace.”</w:t>
      </w:r>
      <w:r>
        <w:t xml:space="preserve"> </w:t>
      </w:r>
      <w:r>
        <w:t xml:space="preserve">The cuts land against a softer set of results: profit fell 3% to £217 million and revenue declined 5.6% to £887 million, with interest income dropping £52.5 million to £759.2 million as the Bank of England’s base rate fell an average 91 basis points over the year — the primary headwind for a bank that earns heavily from deposits. There were brighter spots. The bank’s software-as-a-service arm Engine received a £20 million investment and posted 24.5% revenue growth to £70 million, positioning it as a growth engine beyond UK retail banking. The restructuring also comes amid a boardroom reshuffle: Colin Bell was named chairman in June 2026, replacing David Sproul, while Marcus Traill and Richard Watts departed the board and Tracy Clarke is set to leave. Founded by Anne Boden in 2014 and granted its banking licence in 2016, Starling became the first UK challenger bank to turn a profit — making this AI-led belt-tightening a notable pivot for a onetime disruptor now managing a mature balance sheet.</w:t>
      </w:r>
    </w:p>
    <w:p>
      <w:pPr>
        <w:pStyle w:val="BodyText"/>
      </w:pPr>
      <w:r>
        <w:rPr>
          <w:b/>
          <w:bCs/>
        </w:rPr>
        <w:t xml:space="preserve">References</w:t>
      </w:r>
    </w:p>
    <w:p>
      <w:pPr>
        <w:pStyle w:val="BodyText"/>
      </w:pPr>
      <w:r>
        <w:t xml:space="preserve">[8] City A.M. (2026, July 3). UK fintech Starling to axe 130 roles in AI-powered simplification drive. https://www.cityam.com/uk-fintech-starling-to-axe-130-roles-in-ai-powered-simplification-drive/</w:t>
      </w:r>
      <w:r>
        <w:t xml:space="preserve"> </w:t>
      </w:r>
      <w:r>
        <w:t xml:space="preserve">[9] Financial Times. (2026, July 3). Starling Bank to cut roles in AI restructuring. https://www.ft.com/</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4"/>
    <w:bookmarkEnd w:id="15"/>
    <w:bookmarkStart w:id="17" w:name="society-livelihood"/>
    <w:p>
      <w:pPr>
        <w:pStyle w:val="Heading2"/>
      </w:pPr>
      <w:r>
        <w:t xml:space="preserve">4. Society &amp; Livelihood</w:t>
      </w:r>
    </w:p>
    <w:bookmarkStart w:id="16" w:name="Xa53e14ae24cb578d0f975c08ec7cf8bf78fd775"/>
    <w:p>
      <w:pPr>
        <w:pStyle w:val="Heading3"/>
      </w:pPr>
      <w:r>
        <w:t xml:space="preserve">Housing Committee Urges Government to Go Further to Protect Renters, Calls for Awaab’s Law Extension to Private Sector</w:t>
      </w:r>
    </w:p>
    <w:p>
      <w:pPr>
        <w:pStyle w:val="FirstParagraph"/>
      </w:pPr>
      <w:r>
        <w:t xml:space="preserve">The Housing, Communities and Local Government (HCLG) Select Committee published its report</w:t>
      </w:r>
      <w:r>
        <w:t xml:space="preserve"> </w:t>
      </w:r>
      <w:r>
        <w:t xml:space="preserve">“Housing Conditions in the Private Rented Sector”</w:t>
      </w:r>
      <w:r>
        <w:t xml:space="preserve"> </w:t>
      </w:r>
      <w:r>
        <w:t xml:space="preserve">on 3 July 2026, pressing the government to accelerate renter protections and strengthen enforcement under the Renters’ Rights Act 2025. Chaired by Florence Eshalomi MP, the committee’s headline recommendation is to roll out Awaab’s Law — which sets binding timeframes for landlords to fix hazardous damp and mould and currently applies only to social housing — to the private rented sector in 2026, with full implementation by end 2028/29. Awaab’s Law is named after Awaab Ishak, the two-year-old who died in December 2020 from prolonged exposure to black mould in a Rochdale social home his family had repeatedly complained about; a coroner’s 2022 ruling galvanised the legislation, which took effect for social landlords in October 2025. The committee also urged extending the Decent Homes Standard to private rentals with a compliance deadline of 2035, giving councils the resources to enforce proactively, and expanding the Private Rented Sector Database. It warned against retaliatory economic eviction through steep rent hikes and called on ministers to unfreeze Local Housing Allowance and link it to at least the 30th percentile of local market rents. Eshalomi said:</w:t>
      </w:r>
      <w:r>
        <w:t xml:space="preserve"> </w:t>
      </w:r>
      <w:r>
        <w:t xml:space="preserve">“The government’s reforms to renters’ rights are welcome and can make an important contribution to improving housing conditions for tenants, helping people to live in safe and secure homes where they are treated fairly by their landlords.”</w:t>
      </w:r>
    </w:p>
    <w:p>
      <w:pPr>
        <w:pStyle w:val="BodyText"/>
      </w:pPr>
      <w:r>
        <w:rPr>
          <w:b/>
          <w:bCs/>
        </w:rPr>
        <w:t xml:space="preserve">References</w:t>
      </w:r>
    </w:p>
    <w:p>
      <w:pPr>
        <w:pStyle w:val="BodyText"/>
      </w:pPr>
      <w:r>
        <w:t xml:space="preserve">[10] Housing Digital. (2026, July 3). MPs demand further strengthening of renters’ protections. https://housingdigital.co.uk/mps-demand-further-strengthening-of-renters-protections/</w:t>
      </w:r>
      <w:r>
        <w:t xml:space="preserve"> </w:t>
      </w:r>
      <w:r>
        <w:t xml:space="preserve">[11] UK Parliament. (2026, July 3). Housing, Communities and Local Government Committee news. https://committees.parliament.uk/committee/17/housing-communities-and-local-government-committee/news/214663/</w:t>
      </w:r>
      <w:r>
        <w:t xml:space="preserve"> </w:t>
      </w:r>
      <w:r>
        <w:t xml:space="preserve">[12] National Housing Federation. (2026). Awaab’s Law. https://www.housing.org.uk/resources/awaabs-law/</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6"/>
    <w:bookmarkEnd w:id="17"/>
    <w:bookmarkStart w:id="19" w:name="corporate-ipo-ma"/>
    <w:p>
      <w:pPr>
        <w:pStyle w:val="Heading2"/>
      </w:pPr>
      <w:r>
        <w:t xml:space="preserve">5. Corporate IPO &amp; M&amp;A</w:t>
      </w:r>
    </w:p>
    <w:bookmarkStart w:id="18" w:name="X56d2ba8c39752e229749a5045e2756a9d9338ad"/>
    <w:p>
      <w:pPr>
        <w:pStyle w:val="Heading3"/>
      </w:pPr>
      <w:r>
        <w:t xml:space="preserve">Germany’s Renk Group Agrees to Buy UK Naval Supplier David Brown Defence for up to $250 Million</w:t>
      </w:r>
    </w:p>
    <w:p>
      <w:pPr>
        <w:pStyle w:val="FirstParagraph"/>
      </w:pPr>
      <w:r>
        <w:t xml:space="preserve">Frankfurt-listed German defence company Renk Group announced on Friday 3 July 2026 that it has agreed to acquire David Brown Defence, a privately owned UK naval equipment maker headquartered in Huddersfield. Founded in 1902, the company makes gearboxes and propulsion machinery for submarines and surface warships, and is a strategic supplier to the Royal Navy’s Type 26 frigate programme and its Australian and Canadian variants, giving Renk coveted access to Five Eyes naval markets and low-noise submarine propulsion expertise. The seller is David Brown Santasalo, owned by US private equity firm Stellex Capital Management. No official deal value was disclosed, but Bloomberg reported a valuation of $200–250 million; the transaction is subject to regulatory approvals and is expected to complete in Q4 2026, and given the submarine supply-chain sensitivities it falls under UK national-security investment review. Renk said:</w:t>
      </w:r>
      <w:r>
        <w:t xml:space="preserve"> </w:t>
      </w:r>
      <w:r>
        <w:t xml:space="preserve">“The acquisition represents a strategically important addition to Renk’s existing portfolio in the naval sector.”</w:t>
      </w:r>
      <w:r>
        <w:t xml:space="preserve"> </w:t>
      </w:r>
      <w:r>
        <w:t xml:space="preserve">The deal rides a wave of rearmament across Europe, with NATO urging members toward defence spending of 5% of GDP by 2035 and the UK announcing fresh defence investment earlier the same week — a backdrop that has sent valuations of specialist military suppliers sharply higher.</w:t>
      </w:r>
    </w:p>
    <w:p>
      <w:pPr>
        <w:pStyle w:val="BodyText"/>
      </w:pPr>
      <w:r>
        <w:rPr>
          <w:b/>
          <w:bCs/>
        </w:rPr>
        <w:t xml:space="preserve">References</w:t>
      </w:r>
    </w:p>
    <w:p>
      <w:pPr>
        <w:pStyle w:val="BodyText"/>
      </w:pPr>
      <w:r>
        <w:t xml:space="preserve">[13] Yahoo Finance. (2026, July 3). Germany’s Renk to buy UK naval supplier David Brown Defence. https://finance.yahoo.com/markets/stocks/articles/germany-renk-buy-uk-naval-091930341.html</w:t>
      </w:r>
      <w:r>
        <w:t xml:space="preserve"> </w:t>
      </w:r>
      <w:r>
        <w:t xml:space="preserve">[14] Bloomberg. (2026, July 3). Renk nears deal for UK submarine supplier David Brown Defence. https://www.bloomberg.com/</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8"/>
    <w:bookmarkEnd w:id="19"/>
    <w:bookmarkStart w:id="21" w:name="other-notable-events"/>
    <w:p>
      <w:pPr>
        <w:pStyle w:val="Heading2"/>
      </w:pPr>
      <w:r>
        <w:t xml:space="preserve">6. Other Notable Events</w:t>
      </w:r>
    </w:p>
    <w:bookmarkStart w:id="20" w:name="Xf1a422f3a9914e9addbbfe6bfae119afd3fb596"/>
    <w:p>
      <w:pPr>
        <w:pStyle w:val="Heading3"/>
      </w:pPr>
      <w:r>
        <w:t xml:space="preserve">UK Government Policy Round-Up: NHS Resident Doctors End Strike, Youth Jobs Grant Launches, Heat Pump Subsidy Raised, Homelessness Plan Rolls Out</w:t>
      </w:r>
    </w:p>
    <w:p>
      <w:pPr>
        <w:pStyle w:val="FirstParagraph"/>
      </w:pPr>
      <w:r>
        <w:t xml:space="preserve">A LabourList round-up on 3 July 2026, bylined Sebastian Salek, captured a cluster of government policy moves. The headline development: resident doctors in England voted 53% to accept Labour’s pay offer on a 57% turnout (32,932 votes cast), ending 15 rounds of industrial action since 2023 — the long-running dispute the BMA had escalated through repeated five-day walkouts across 2025 and a six-day strike in April 2026. The deal delivers an average 35.2% compensation improvement over four years, 4,500 new specialty training places and backdated pay from April 2026. Health Secretary James Murray said:</w:t>
      </w:r>
      <w:r>
        <w:t xml:space="preserve"> </w:t>
      </w:r>
      <w:r>
        <w:t xml:space="preserve">“This is very good news for resident doctors, patients and the NHS as a whole, allowing us to draw a line under the disruption.”</w:t>
      </w:r>
      <w:r>
        <w:t xml:space="preserve"> </w:t>
      </w:r>
      <w:r>
        <w:t xml:space="preserve">Separately, the Youth Jobs Grant opened for applications on 30 June, offering employers £3,000 per eligible unemployed 18–24-year-old (on Universal Credit and unemployed 6+ months) they hire, targeting up to 60,000 young people over three years, with Merlin Entertainments confirming 300 jobs. Work and Pensions Secretary Pat McFadden MP said:</w:t>
      </w:r>
      <w:r>
        <w:t xml:space="preserve"> </w:t>
      </w:r>
      <w:r>
        <w:t xml:space="preserve">“Young people want the chance to work, earn, learn and build a better future.”</w:t>
      </w:r>
      <w:r>
        <w:t xml:space="preserve"> </w:t>
      </w:r>
      <w:r>
        <w:t xml:space="preserve">On energy, the Boiler Upgrade Scheme grant rose from £7,500 to £9,000 for oil-heated, off-gas-grid households in England and Wales, effective 21 July 2026 to 31 March 2027, covering 200,000 eligible households. On homelessness, the Vagrancy Act (1824) was repealed effective 29 June 2026 under the government’s £3.6 billion three-year National Plan to End Homelessness, which includes £950 million to reduce B&amp;B use by families; Housing Secretary Steve Reed OBE MP said:</w:t>
      </w:r>
      <w:r>
        <w:t xml:space="preserve"> </w:t>
      </w:r>
      <w:r>
        <w:t xml:space="preserve">“Homeless people are not criminals, they are people who need help.”</w:t>
      </w:r>
      <w:r>
        <w:t xml:space="preserve"> </w:t>
      </w:r>
      <w:r>
        <w:t xml:space="preserve">The round-up also noted baseline minimum sentences for domestic killers raised from 15 to 25 years, a taskforce to reunite 750,000+ young people with matured Child Trust Fund accounts (average £2,200), involving the Treasury, Nationwide and HSBC UK, and PIP, Work Capability and Industrial Injuries Disablement Benefit assessments recorded by default from 29 June 2026, up from under 3% previously. Disability Minister Stephen Timms said:</w:t>
      </w:r>
      <w:r>
        <w:t xml:space="preserve"> </w:t>
      </w:r>
      <w:r>
        <w:t xml:space="preserve">“Audio recording health assessments as standard will mean we are available to make improvements and increase assessment quality.”</w:t>
      </w:r>
    </w:p>
    <w:p>
      <w:pPr>
        <w:pStyle w:val="BodyText"/>
      </w:pPr>
      <w:r>
        <w:rPr>
          <w:b/>
          <w:bCs/>
        </w:rPr>
        <w:t xml:space="preserve">References</w:t>
      </w:r>
    </w:p>
    <w:p>
      <w:pPr>
        <w:pStyle w:val="BodyText"/>
      </w:pPr>
      <w:r>
        <w:t xml:space="preserve">[15] LabourList. (2026, July 3). Good news: 3 July 2026. https://labourlist.org/2026/07/good-news-3-july-2026/</w:t>
      </w:r>
      <w:r>
        <w:t xml:space="preserve"> </w:t>
      </w:r>
      <w:r>
        <w:t xml:space="preserve">[16] GOV.UK. (2026, July 3). Funding for businesses who give youngsters a chance as government ramps up youth jobs drive. https://www.gov.uk/government/news/funding-for-businesses-who-give-youngsters-a-chance-as-government-ramps-up-youth-jobs-drive</w:t>
      </w:r>
      <w:r>
        <w:t xml:space="preserve"> </w:t>
      </w:r>
      <w:r>
        <w:t xml:space="preserve">[17] GOV.UK. (2026, June 29). Rough sleeping no longer a crime as Vagrancy Act repealed. https://www.gov.uk/government/news/rough-sleeping-no-longer-a-crime-as-vagrancy-act-repealed</w:t>
      </w:r>
      <w:r>
        <w:t xml:space="preserve"> </w:t>
      </w:r>
      <w:r>
        <w:t xml:space="preserve">[18] LBC. (2026, July 3). Resident doctors in England vote to accept government pay deal. https://www.lbc.co.uk/article/resident-doctors-england-vote-accept-government-pay-deal-5HjdcJM_2/</w:t>
      </w:r>
    </w:p>
    <w:p>
      <w:r>
        <w:pict>
          <v:rect style="width:0;height:1.5pt" o:hralign="center" o:hrstd="t" o:hr="t"/>
        </w:pict>
      </w:r>
    </w:p>
    <w:p>
      <w:pPr>
        <w:pStyle w:val="FirstParagraph"/>
      </w:pPr>
      <w:r>
        <w:rPr>
          <w:i/>
          <w:iCs/>
        </w:rPr>
        <w:t xml:space="preserve">Note: only 1 story met T1-T4 standards for this category today.</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2026-07-03T12:44:25Z</dcterms:created>
  <dcterms:modified xsi:type="dcterms:W3CDTF">2026-07-03T12:44:25Z</dcterms:modified>
</cp:coreProperties>
</file>

<file path=docProps/custom.xml><?xml version="1.0" encoding="utf-8"?>
<Properties xmlns="http://schemas.openxmlformats.org/officeDocument/2006/custom-properties" xmlns:vt="http://schemas.openxmlformats.org/officeDocument/2006/docPropsVTypes"/>
</file>