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中国每日热点新闻-2026年6月24日"/>
    <w:p>
      <w:pPr>
        <w:pStyle w:val="Heading1"/>
      </w:pPr>
      <w:r>
        <w:rPr>
          <w:rFonts w:hint="eastAsia"/>
        </w:rPr>
        <w:t xml:space="preserve">中国每日热点新闻</w:t>
      </w:r>
      <w:r>
        <w:t xml:space="preserve"> — </w:t>
      </w:r>
      <w:r>
        <w:rPr>
          <w:rFonts w:hint="eastAsia"/>
        </w:rPr>
        <w:t xml:space="preserve">2026年6月24日</w:t>
      </w:r>
    </w:p>
    <w:bookmarkStart w:id="10" w:name="一经济与市场"/>
    <w:p>
      <w:pPr>
        <w:pStyle w:val="Heading2"/>
      </w:pPr>
      <w:r>
        <w:rPr>
          <w:rFonts w:hint="eastAsia"/>
        </w:rPr>
        <w:t xml:space="preserve">一、经济与市场</w:t>
      </w:r>
    </w:p>
    <w:bookmarkStart w:id="9" w:name="李强夏季达沃斯演讲否认中国出口竞争力来自国家补贴"/>
    <w:p>
      <w:pPr>
        <w:pStyle w:val="Heading3"/>
      </w:pPr>
      <w:r>
        <w:rPr>
          <w:rFonts w:hint="eastAsia"/>
        </w:rPr>
        <w:t xml:space="preserve">李强夏季达沃斯演讲，否认中国出口竞争力来自国家补贴</w:t>
      </w:r>
    </w:p>
    <w:p>
      <w:pPr>
        <w:pStyle w:val="FirstParagraph"/>
      </w:pPr>
      <w:r>
        <w:rPr>
          <w:rFonts w:hint="eastAsia"/>
        </w:rPr>
        <w:t xml:space="preserve">国务院总理李强6月24日在大连出席第十七届夏季达沃斯论坛（新领军者年会）开幕式致辞，直接驳斥西方对中国产业优势源于国家补贴的指控。李强说，中国的竞争力来自各行业的努力、巨大的国内市场以及完整高效的制造业供应链，而非政府补贴，并称中国出口顺差是生产率提升的自然结果。他还反问，“中国政府还没有那么富裕，我们也补贴不起”。</w:t>
      </w:r>
    </w:p>
    <w:p>
      <w:pPr>
        <w:pStyle w:val="BodyText"/>
      </w:pPr>
      <w:r>
        <w:rPr>
          <w:rFonts w:hint="eastAsia"/>
        </w:rPr>
        <w:t xml:space="preserve">李强呼吁外界重新审视对中国的叙事，提出“China</w:t>
      </w:r>
      <w:r>
        <w:t xml:space="preserve"> Opportunity </w:t>
      </w:r>
      <w:r>
        <w:rPr>
          <w:rFonts w:hint="eastAsia"/>
        </w:rPr>
        <w:t xml:space="preserve">2.0”（中国机遇2.0）的说法，主张开放合作、抵制保护主义。他强调，中国在新兴领域的技术和产品给世界带来的“不是冲击，而是机遇；不是威胁，而是赋能”。土耳其阿纳多卢通讯社援引其表态称，“创新来自竞争，而非政府的施舍”。针对外界对华为全球扩张的质疑，李强将其定性为市场驱动，并表示欢迎“公平竞争”。</w:t>
      </w:r>
    </w:p>
    <w:p>
      <w:pPr>
        <w:pStyle w:val="BodyText"/>
      </w:pPr>
      <w:r>
        <w:rPr>
          <w:rFonts w:hint="eastAsia"/>
        </w:rPr>
        <w:t xml:space="preserve">本届论坛6月23日至24日在大连举行，主题为“规模化创新”，吸引来自90多个经济体的1700余名代表与会。李强在会议间隙会见了孟加拉国临时政府首席顾问拉赫曼（Tarique</w:t>
      </w:r>
      <w:r>
        <w:t xml:space="preserve"> </w:t>
      </w:r>
      <w:r>
        <w:rPr>
          <w:rFonts w:hint="eastAsia"/>
        </w:rPr>
        <w:t xml:space="preserve">Rahman）。这是中国在全球贸易摩擦加剧背景下，再次借多边场合阐释其产业政策逻辑的一次集中表态。</w:t>
      </w:r>
    </w:p>
    <w:p>
      <w:pPr>
        <w:pStyle w:val="BodyText"/>
      </w:pPr>
      <w:r>
        <w:rPr>
          <w:b/>
          <w:bCs/>
        </w:rPr>
        <w:t xml:space="preserve">References</w:t>
      </w:r>
    </w:p>
    <w:p>
      <w:pPr>
        <w:pStyle w:val="BodyText"/>
      </w:pPr>
      <w:r>
        <w:t xml:space="preserve">[1] Hale, T., &amp; Olcott, E. (2026, June 24). Li Qiang tells Summer Davos audience China’s export competitiveness is not down to state subsidies. Financial Times. https://www.ft.com/content/li-qiang-summer-davos-2026-subsidies-competitiveness</w:t>
      </w:r>
      <w:r>
        <w:t xml:space="preserve"> </w:t>
      </w:r>
      <w:r>
        <w:t xml:space="preserve">[2] Anadolu Agency. (2026, June 24). Summer Davos forum opens in China as premier Li Qiang highlights innovation, international cooperation. Anadolu Agency. https://www.aa.com.tr/en/economy/summer-davos-forum-opens-in-china-as-premier-li-qiang-highlights-innovation-international-cooperation/3671842</w:t>
      </w:r>
      <w:r>
        <w:t xml:space="preserve"> </w:t>
      </w:r>
      <w:r>
        <w:t xml:space="preserve">[3] Modern Diplomacy. (2026, June 24). China defends Huawei and tech growth as premier rejects subsidy claims. Modern Diplomacy. https://moderndiplomacy.eu/2026/06/24/china-defends-huawei-and-tech-growth-as-premier-rejects-subsidy-claims/</w:t>
      </w:r>
      <w:r>
        <w:t xml:space="preserve"> </w:t>
      </w:r>
      <w:r>
        <w:t xml:space="preserve">[4] Xinhua. (2026, June 24). Chinese premier addresses opening plenary of Summer Davos. Xinhua. https://english.news.cn/20260624/6dadff97d8014f48af1cf59f49bbf7a3/c.html</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9"/>
    <w:bookmarkEnd w:id="10"/>
    <w:bookmarkStart w:id="13" w:name="二政治与外交"/>
    <w:p>
      <w:pPr>
        <w:pStyle w:val="Heading2"/>
      </w:pPr>
      <w:r>
        <w:rPr>
          <w:rFonts w:hint="eastAsia"/>
        </w:rPr>
        <w:t xml:space="preserve">二、政治与外交</w:t>
      </w:r>
    </w:p>
    <w:bookmarkStart w:id="11" w:name="福建舰穿越台湾海峡英法德联合谴责中国军事新动向"/>
    <w:p>
      <w:pPr>
        <w:pStyle w:val="Heading3"/>
      </w:pPr>
      <w:r>
        <w:rPr>
          <w:rFonts w:hint="eastAsia"/>
        </w:rPr>
        <w:t xml:space="preserve">福建舰穿越台湾海峡，英法德联合谴责中国军事新动向</w:t>
      </w:r>
    </w:p>
    <w:p>
      <w:pPr>
        <w:pStyle w:val="FirstParagraph"/>
      </w:pPr>
      <w:r>
        <w:rPr>
          <w:rFonts w:hint="eastAsia"/>
        </w:rPr>
        <w:t xml:space="preserve">台湾防务部门6月24日证实，中国“福建舰”航母及护航编队当日穿越台湾海峡。福建舰是中国第三艘、也是性能最强的航母，2025年11月正式服役，采用电磁弹射的CATOBAR起降系统，是中国首艘配备电磁弹射器的航母，也被美国海军研究所认定为全球最大的非核动力战舰。此次为有记录以来福建舰第二次穿越台海，首次是在2025年12月。台湾军方称全程监控。</w:t>
      </w:r>
    </w:p>
    <w:p>
      <w:pPr>
        <w:pStyle w:val="BodyText"/>
      </w:pPr>
      <w:r>
        <w:rPr>
          <w:rFonts w:hint="eastAsia"/>
        </w:rPr>
        <w:t xml:space="preserve">台湾防务部门负责人顾立雄将中国的相关行动——包括6月初实施的一次“特别海上交通执法行动”——定性为“认知作战”。</w:t>
      </w:r>
    </w:p>
    <w:p>
      <w:pPr>
        <w:pStyle w:val="BodyText"/>
      </w:pPr>
      <w:r>
        <w:rPr>
          <w:rFonts w:hint="eastAsia"/>
        </w:rPr>
        <w:t xml:space="preserve">同日，英国、法国、德国驻台北机构发表联合声明，对台湾东部海域出现的“前所未有”的中国军事与执法活动表示“严重关切”，反对“单方面改变现状”的企图。三国选择以联合形式发声，反映出欧洲主要国家对台海局势的关注正在升温。此次穿越发生在台湾启动为期五天、模拟应对中国攻击的军事演习次日。</w:t>
      </w:r>
    </w:p>
    <w:p>
      <w:pPr>
        <w:pStyle w:val="BodyText"/>
      </w:pPr>
      <w:r>
        <w:rPr>
          <w:b/>
          <w:bCs/>
        </w:rPr>
        <w:t xml:space="preserve">References</w:t>
      </w:r>
    </w:p>
    <w:p>
      <w:pPr>
        <w:pStyle w:val="BodyText"/>
      </w:pPr>
      <w:r>
        <w:t xml:space="preserve">[5] Lee, Y., &amp; Blanchard, B. (2026, June 24). UK, France, Germany warn of Chinese activities off eastern Taiwan. Reuters / Global Banking and Finance Review. https://www.globalbankingandfinance.com/uk-france-germany-warn-of-chinese-activities-off-eastern-taiwan/</w:t>
      </w:r>
      <w:r>
        <w:t xml:space="preserve"> </w:t>
      </w:r>
      <w:r>
        <w:t xml:space="preserve">[6] Lin, S. (2026, June 24). Taiwan tracks China’s Fujian carrier transiting Taiwan Strait. Focus Taiwan. https://focustaiwan.tw/cross-strait/202606240003</w:t>
      </w:r>
      <w:r>
        <w:t xml:space="preserve"> </w:t>
      </w:r>
      <w:r>
        <w:t xml:space="preserve">[7] Anadolu Agency. (2026, June 24). UK, France, Germany say Chinese</w:t>
      </w:r>
      <w:r>
        <w:t xml:space="preserve"> </w:t>
      </w:r>
      <w:r>
        <w:t xml:space="preserve">‘novel’</w:t>
      </w:r>
      <w:r>
        <w:t xml:space="preserve"> </w:t>
      </w:r>
      <w:r>
        <w:t xml:space="preserve">activity around Taiwan threatens region. Anadolu Agency. https://www.aa.com.tr/en/asia-pacific/uk-france-germany-say-chinese-novel-activity-around-taiwan-threatens-region/3671899</w:t>
      </w:r>
      <w:r>
        <w:t xml:space="preserve"> </w:t>
      </w:r>
      <w:r>
        <w:t xml:space="preserve">[8] Associated Press. (2026, June 23). China’s newest aircraft carrier sails through the Taiwan Strait. Associated Press / The Washington Times. https://www.washingtontimes.com/news/2026/jun/23/chinas-newest-aircraft-carrier-sails-taiwan-strait/</w:t>
      </w:r>
    </w:p>
    <w:p>
      <w:r>
        <w:pict>
          <v:rect style="width:0;height:1.5pt" o:hralign="center" o:hrstd="t" o:hr="t"/>
        </w:pict>
      </w:r>
    </w:p>
    <w:bookmarkEnd w:id="11"/>
    <w:bookmarkStart w:id="12" w:name="中国民族团结法7月1日生效对海外公民主张域外管辖权"/>
    <w:p>
      <w:pPr>
        <w:pStyle w:val="Heading3"/>
      </w:pPr>
      <w:r>
        <w:rPr>
          <w:rFonts w:hint="eastAsia"/>
        </w:rPr>
        <w:t xml:space="preserve">中国民族团结法7月1日生效，对海外公民主张域外管辖权</w:t>
      </w:r>
    </w:p>
    <w:p>
      <w:pPr>
        <w:pStyle w:val="FirstParagraph"/>
      </w:pPr>
      <w:r>
        <w:rPr>
          <w:rFonts w:hint="eastAsia"/>
        </w:rPr>
        <w:t xml:space="preserve">中国《民族团结法》将于2026年7月1日生效，其中第六十三条主张对海外中国公民行使域外管辖权，要求其促进民族团结、禁止从事损害民族团结的行为，并可通过领事和司法系统追究刑事责任。该法已于2026年3月12日签署，将习近平时代的民族政策写入法律。</w:t>
      </w:r>
    </w:p>
    <w:p>
      <w:pPr>
        <w:pStyle w:val="BodyText"/>
      </w:pPr>
      <w:r>
        <w:rPr>
          <w:rFonts w:hint="eastAsia"/>
        </w:rPr>
        <w:t xml:space="preserve">司法部副部长胡卫列6月24日为该条款辩护，称其符合“既定法律原则”，并援引其他国家的类似做法。法律中“民族团结”被宽泛定义，与中共在涉藏、涉疆、涉蒙问题上的立场对齐。该法源自2025年9月的草案，当时即要求开展意识形态教育并加强监控。</w:t>
      </w:r>
    </w:p>
    <w:p>
      <w:pPr>
        <w:pStyle w:val="BodyText"/>
      </w:pPr>
      <w:r>
        <w:rPr>
          <w:rFonts w:hint="eastAsia"/>
        </w:rPr>
        <w:t xml:space="preserve">法律学者与海外侨界团体警告，第六十三条措辞宽泛，足以延伸至散居海外的群体，可能被用来在西方国家压制活动人士。联合国人权高专办及多名前特别报告员此前已就该法可能固化“强制同化”发出警告，欧洲议会亦就此安排辩论。</w:t>
      </w:r>
    </w:p>
    <w:p>
      <w:pPr>
        <w:pStyle w:val="BodyText"/>
      </w:pPr>
      <w:r>
        <w:rPr>
          <w:b/>
          <w:bCs/>
        </w:rPr>
        <w:t xml:space="preserve">References</w:t>
      </w:r>
    </w:p>
    <w:p>
      <w:pPr>
        <w:pStyle w:val="BodyText"/>
      </w:pPr>
      <w:r>
        <w:t xml:space="preserve">[9] Blanchard, B. (2026, June 24). China claims right to target overseas citizens with ethnic unity law. Reuters / Global Banking and Finance Review. https://www.globalbankingandfinance.com/china-claims-right-to-target-overseas-citizens-with-ethnic-unity-law/</w:t>
      </w:r>
      <w:r>
        <w:t xml:space="preserve"> </w:t>
      </w:r>
      <w:r>
        <w:t xml:space="preserve">[10] International Service for Human Rights. (2026, June). UN experts warn new</w:t>
      </w:r>
      <w:r>
        <w:t xml:space="preserve"> </w:t>
      </w:r>
      <w:r>
        <w:t xml:space="preserve">‘ethnic unity’</w:t>
      </w:r>
      <w:r>
        <w:t xml:space="preserve"> </w:t>
      </w:r>
      <w:r>
        <w:t xml:space="preserve">law in China risks entrenching forced assimilation ahead of EU Parliament debate. ISHR. https://ishr.ch/latest-updates/un-experts-warn-new-ethnic-unity-law-in-china-risks-entrenching-forced-assimilation-ahead-of-eu-parliament-debate/</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bookmarkEnd w:id="12"/>
    <w:bookmarkEnd w:id="13"/>
    <w:bookmarkStart w:id="16" w:name="三科技与产业"/>
    <w:p>
      <w:pPr>
        <w:pStyle w:val="Heading2"/>
      </w:pPr>
      <w:r>
        <w:rPr>
          <w:rFonts w:hint="eastAsia"/>
        </w:rPr>
        <w:t xml:space="preserve">三、科技与产业</w:t>
      </w:r>
    </w:p>
    <w:bookmarkStart w:id="14" w:name="中国线晟超算以2.198百亿亿次登顶全球终结美国自2017年以来的霸榜"/>
    <w:p>
      <w:pPr>
        <w:pStyle w:val="Heading3"/>
      </w:pPr>
      <w:r>
        <w:rPr>
          <w:rFonts w:hint="eastAsia"/>
        </w:rPr>
        <w:t xml:space="preserve">中国“线晟”超算以2.198百亿亿次登顶全球，终结美国自2017年以来的霸榜</w:t>
      </w:r>
    </w:p>
    <w:p>
      <w:pPr>
        <w:pStyle w:val="FirstParagraph"/>
      </w:pPr>
      <w:r>
        <w:rPr>
          <w:rFonts w:hint="eastAsia"/>
        </w:rPr>
        <w:t xml:space="preserve">中国超级计算机“线晟”（LineShine）以HPL基准测试2.198</w:t>
      </w:r>
      <w:r>
        <w:t xml:space="preserve"> </w:t>
      </w:r>
      <w:r>
        <w:rPr>
          <w:rFonts w:hint="eastAsia"/>
        </w:rPr>
        <w:t xml:space="preserve">exaflops（百亿亿次浮点运算）的成绩登上最新一期TOP500榜首，这是自2017年（神威·太湖之光与天河二号时代）以来中国系统首次夺冠。该榜单每半年更新一次，第67期于6月23日在德国汉堡举行的ISC高性能计算大会上公布。</w:t>
      </w:r>
    </w:p>
    <w:p>
      <w:pPr>
        <w:pStyle w:val="BodyText"/>
      </w:pPr>
      <w:r>
        <w:rPr>
          <w:rFonts w:hint="eastAsia"/>
        </w:rPr>
        <w:t xml:space="preserve">线晟部署于深圳国家超级计算中心，采用国产处理器和自主的“凌昆”平台，搭载304核LX2处理器与自研互连及麒麟操作系统，全程未使用任何先进AI芯片。它也是TOP500历史上首个仅凭CPU便突破两百亿亿次持续双精度算力的系统。此前的榜首美国Frontier（橡树岭国家实验室）自2021年11月起领跑，算力约1.206</w:t>
      </w:r>
      <w:r>
        <w:t xml:space="preserve"> </w:t>
      </w:r>
      <w:r>
        <w:rPr>
          <w:rFonts w:hint="eastAsia"/>
        </w:rPr>
        <w:t xml:space="preserve">exaflops，线晟的2.198约为其1.82倍。</w:t>
      </w:r>
    </w:p>
    <w:p>
      <w:pPr>
        <w:pStyle w:val="BodyText"/>
      </w:pPr>
      <w:r>
        <w:rPr>
          <w:rFonts w:hint="eastAsia"/>
        </w:rPr>
        <w:t xml:space="preserve">线晟登顶之际，中国正因美国对英伟达（Nvidia）高端GPU的出口管制而加大国产芯片投入。2023年后，中国曾一度因芯片受限停止向TOP500提交系统。线晟完全依靠国产芯片夺冠，使外界重新质疑美国芯片出口管制的实际成效。</w:t>
      </w:r>
    </w:p>
    <w:p>
      <w:pPr>
        <w:pStyle w:val="BodyText"/>
      </w:pPr>
      <w:r>
        <w:rPr>
          <w:b/>
          <w:bCs/>
        </w:rPr>
        <w:t xml:space="preserve">References</w:t>
      </w:r>
    </w:p>
    <w:p>
      <w:pPr>
        <w:pStyle w:val="BodyText"/>
      </w:pPr>
      <w:r>
        <w:t xml:space="preserve">[11] Power, J. (2026, June 24). China takes US crown for world’s fastest supercomputer. Al Jazeera. https://www.aljazeera.com/economy/2026/6/24/china-takes-us-crown-for-worlds-fastest-supercomputer</w:t>
      </w:r>
      <w:r>
        <w:t xml:space="preserve"> </w:t>
      </w:r>
      <w:r>
        <w:t xml:space="preserve">[12] AFP. (2026, June 24). China tops world’s fastest supercomputer ranking. Agence France-Presse / Dawn. https://www.dawn.com/news/1934072/china-tops-worlds-fastest-supercomputer-ranking</w:t>
      </w:r>
      <w:r>
        <w:t xml:space="preserve"> </w:t>
      </w:r>
      <w:r>
        <w:t xml:space="preserve">[13] TOP500. (2026, June 23). LineShine debuts at No. 1 as the TOP500 enters a new global exascale era. TOP500. https://top500.org/news/lineshine-debuts-no-1-top500-enters-new-global-exascale-era/</w:t>
      </w:r>
    </w:p>
    <w:p>
      <w:r>
        <w:pict>
          <v:rect style="width:0;height:1.5pt" o:hralign="center" o:hrstd="t" o:hr="t"/>
        </w:pict>
      </w:r>
    </w:p>
    <w:bookmarkEnd w:id="14"/>
    <w:bookmarkStart w:id="15" w:name="摩根士丹利将中国人形机器人2026年出货预测翻倍至5万台"/>
    <w:p>
      <w:pPr>
        <w:pStyle w:val="Heading3"/>
      </w:pPr>
      <w:r>
        <w:rPr>
          <w:rFonts w:hint="eastAsia"/>
        </w:rPr>
        <w:t xml:space="preserve">摩根士丹利将中国人形机器人2026年出货预测翻倍至5万台</w:t>
      </w:r>
    </w:p>
    <w:p>
      <w:pPr>
        <w:pStyle w:val="FirstParagraph"/>
      </w:pPr>
      <w:r>
        <w:rPr>
          <w:rFonts w:hint="eastAsia"/>
        </w:rPr>
        <w:t xml:space="preserve">摩根士丹利将中国人形机器人2026年出货量预测上调至5万台，较此前的2.8万台再度翻倍，相比1月份的1.4万台预测，半年内上调约3.6倍。该行称行业已进入“早期商业化催化阶段”。</w:t>
      </w:r>
    </w:p>
    <w:p>
      <w:pPr>
        <w:pStyle w:val="BodyText"/>
      </w:pPr>
      <w:r>
        <w:rPr>
          <w:rFonts w:hint="eastAsia"/>
        </w:rPr>
        <w:t xml:space="preserve">支撑这一判断的核心是国家电网（State</w:t>
      </w:r>
      <w:r>
        <w:t xml:space="preserve"> Grid Corporation of </w:t>
      </w:r>
      <w:r>
        <w:rPr>
          <w:rFonts w:hint="eastAsia"/>
        </w:rPr>
        <w:t xml:space="preserve">China）一笔68亿元人民币（约合10亿美元）的采购订单，涵盖500台人形机器人、3000台双臂机器人和5000台四足机器人，被视为全球规模最大的商用人形机器人部署订单。摩根士丹利还指出，产业政策支持以及供应链扩张是另两大驱动力，其中国产化零部件成本比国际水平低约20%。</w:t>
      </w:r>
    </w:p>
    <w:p>
      <w:pPr>
        <w:pStyle w:val="BodyText"/>
      </w:pPr>
      <w:r>
        <w:rPr>
          <w:rFonts w:hint="eastAsia"/>
        </w:rPr>
        <w:t xml:space="preserve">该行预计，中国人形机器人市场收入将从2026年的20亿美元增长至2030年的150亿美元，出货量达到44.6万台，年复合增长率约106%。放眼更长周期，全球人形机器人市场到2050年规模有望达到5万亿美元，中国累计部署量可能达到3.02亿台。不过摩根士丹利也提示，电池续航和真实场景下的可靠性仍是行业待解的难题。</w:t>
      </w:r>
    </w:p>
    <w:p>
      <w:pPr>
        <w:pStyle w:val="BodyText"/>
      </w:pPr>
      <w:r>
        <w:rPr>
          <w:b/>
          <w:bCs/>
        </w:rPr>
        <w:t xml:space="preserve">References</w:t>
      </w:r>
    </w:p>
    <w:p>
      <w:pPr>
        <w:pStyle w:val="BodyText"/>
      </w:pPr>
      <w:r>
        <w:t xml:space="preserve">[14] Bao, A. (2026, June 24). Morgan Stanley doubles China humanoid robot market forecast as commercialization accelerates. CNBC. https://www.cnbc.com/2026/06/24/morgan-stanley-china-humanoid-robot-market-forecast.html</w:t>
      </w:r>
      <w:r>
        <w:t xml:space="preserve"> </w:t>
      </w:r>
      <w:r>
        <w:t xml:space="preserve">[15] Crypto Briefing. (2026, June 24). Morgan Stanley doubles China humanoid robot shipment forecast to 50,000 units. Crypto Briefing. https://cryptobriefing.com/morgan-stanley-china-humanoid-robot-forecast/</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bookmarkEnd w:id="15"/>
    <w:bookmarkEnd w:id="16"/>
    <w:bookmarkStart w:id="18" w:name="四社会与民生"/>
    <w:p>
      <w:pPr>
        <w:pStyle w:val="Heading2"/>
      </w:pPr>
      <w:r>
        <w:rPr>
          <w:rFonts w:hint="eastAsia"/>
        </w:rPr>
        <w:t xml:space="preserve">四、社会与民生</w:t>
      </w:r>
    </w:p>
    <w:bookmarkStart w:id="17" w:name="两名日本公民在华被拘涉嫌违反稀土出口管制"/>
    <w:p>
      <w:pPr>
        <w:pStyle w:val="Heading3"/>
      </w:pPr>
      <w:r>
        <w:rPr>
          <w:rFonts w:hint="eastAsia"/>
        </w:rPr>
        <w:t xml:space="preserve">两名日本公民在华被拘，涉嫌违反稀土出口管制</w:t>
      </w:r>
    </w:p>
    <w:p>
      <w:pPr>
        <w:pStyle w:val="FirstParagraph"/>
      </w:pPr>
      <w:r>
        <w:rPr>
          <w:rFonts w:hint="eastAsia"/>
        </w:rPr>
        <w:t xml:space="preserve">中国以涉嫌走私受稀土出口管制商品为由，拘留两名日本公民。第一人于5月18日在大连被拘，是日本一家大型重型电机企业的员工；第二人于5月25日被拘。日本内阁官房长官木原稔6月24日证实两起拘留，并称每次抓捕中方均已通报日本领事官员。</w:t>
      </w:r>
    </w:p>
    <w:p>
      <w:pPr>
        <w:pStyle w:val="BodyText"/>
      </w:pPr>
      <w:r>
        <w:rPr>
          <w:rFonts w:hint="eastAsia"/>
        </w:rPr>
        <w:t xml:space="preserve">木原稔表示，日本政府“将继续采取适当措施”，并要求中方提供公正、透明的处理程序。涉案的均为军民两用稀土产品。</w:t>
      </w:r>
    </w:p>
    <w:p>
      <w:pPr>
        <w:pStyle w:val="BodyText"/>
      </w:pPr>
      <w:r>
        <w:rPr>
          <w:rFonts w:hint="eastAsia"/>
        </w:rPr>
        <w:t xml:space="preserve">这两起拘留发生在中日关系趋紧的背景下。中国在2025年底收紧稀土出口管制，导火索是日本前防卫大臣高市早苗有关台湾的言论；中国商务部于2026年1月宣布对用于军事或可能增强日本军力用途的两用物项实施对日出口限制。日本经济新闻指出，此前已有安斯泰来制药（Astellas</w:t>
      </w:r>
      <w:r>
        <w:t xml:space="preserve"> </w:t>
      </w:r>
      <w:r>
        <w:rPr>
          <w:rFonts w:hint="eastAsia"/>
        </w:rPr>
        <w:t xml:space="preserve">Pharma）高管在华被拘，并于2025年7月被判刑。</w:t>
      </w:r>
    </w:p>
    <w:p>
      <w:pPr>
        <w:pStyle w:val="BodyText"/>
      </w:pPr>
      <w:r>
        <w:rPr>
          <w:b/>
          <w:bCs/>
        </w:rPr>
        <w:t xml:space="preserve">References</w:t>
      </w:r>
    </w:p>
    <w:p>
      <w:pPr>
        <w:pStyle w:val="BodyText"/>
      </w:pPr>
      <w:r>
        <w:t xml:space="preserve">[16] Reuters. (2026, June 24). China detains two Japanese nationals suspected of smuggling banned goods. Reuters / Devdiscourse. https://www.devdiscourse.com/article/headlines/3512847-china-detains-two-japanese-nationals-suspected-of-smuggling-banned-goods</w:t>
      </w:r>
      <w:r>
        <w:t xml:space="preserve"> </w:t>
      </w:r>
      <w:r>
        <w:t xml:space="preserve">[17] Jiji Press. (2026, June 24). Two Japanese detained in China over suspected smuggling. Jiji Press / Nippon.com. https://www.nippon.com/en/news/yjj2026062400643/</w:t>
      </w:r>
      <w:r>
        <w:t xml:space="preserve"> </w:t>
      </w:r>
      <w:r>
        <w:t xml:space="preserve">[18] Kyodo. (2026, June 24). Japanese heavy electric machinery company worker detained in China. Kyodo / Nikkei Asia. https://asia.nikkei.com/Politics/International-relations/Japan-China/Japanese-heavy-electric-machinery-company-worker-detained-in-China</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17"/>
    <w:bookmarkEnd w:id="18"/>
    <w:bookmarkStart w:id="21" w:name="五海外涉华财经"/>
    <w:p>
      <w:pPr>
        <w:pStyle w:val="Heading2"/>
      </w:pPr>
      <w:r>
        <w:rPr>
          <w:rFonts w:hint="eastAsia"/>
        </w:rPr>
        <w:t xml:space="preserve">五、海外涉华财经</w:t>
      </w:r>
    </w:p>
    <w:bookmarkStart w:id="19" w:name="中国稀土与矿产出口管制冲击日本国防工业重建"/>
    <w:p>
      <w:pPr>
        <w:pStyle w:val="Heading3"/>
      </w:pPr>
      <w:r>
        <w:rPr>
          <w:rFonts w:hint="eastAsia"/>
        </w:rPr>
        <w:t xml:space="preserve">中国稀土与矿产出口管制冲击日本国防工业重建</w:t>
      </w:r>
    </w:p>
    <w:p>
      <w:pPr>
        <w:pStyle w:val="FirstParagraph"/>
      </w:pPr>
      <w:r>
        <w:rPr>
          <w:rFonts w:hint="eastAsia"/>
        </w:rPr>
        <w:t xml:space="preserve">中国对稀土及军民两用材料的出口管制，正扰乱日本国防工业与重型电机制造的供应链，对其产业和军工成本构成实质性影响。这一管制在日本前防卫大臣高市早苗2025年底涉台言论后明显收紧。</w:t>
      </w:r>
    </w:p>
    <w:p>
      <w:pPr>
        <w:pStyle w:val="BodyText"/>
      </w:pPr>
      <w:r>
        <w:rPr>
          <w:rFonts w:hint="eastAsia"/>
        </w:rPr>
        <w:t xml:space="preserve">日本是中国之外少数能生产稀土永磁体的国家之一，在高性能稀土永磁体和合金的全球制造份额约为15%，仅次于中国。中国2026年1月对日实施两用物项出口限制后，自2025年底起对日本的镝、铽、钇等重稀土氧化物出货已降至零或极低水平。日本主要磁材厂商信越化学（Shin-Etsu）一度停止接受含镝磁体的新订单，显示供应紧张已沿产业链向下游传导。</w:t>
      </w:r>
    </w:p>
    <w:p>
      <w:pPr>
        <w:pStyle w:val="BodyText"/>
      </w:pPr>
      <w:r>
        <w:rPr>
          <w:rFonts w:hint="eastAsia"/>
        </w:rPr>
        <w:t xml:space="preserve">这一冲击恰逢日本依据2022年《国家安全保障战略》推进自卫队（SDF）现代化的关键阶段。为降低对华依赖，日本正寻求从澳大利亚、加拿大和东南亚等地获取替代来源，并已于2026年2月在南鸟岛附近约6000米深海启动稀土开采试验。澳大利亚莱纳斯（Lynas）在马来西亚的工厂已成为中国以外首家量产镝氧化物的企业，成为日本及西方分散供应链布局的关键一环。</w:t>
      </w:r>
    </w:p>
    <w:p>
      <w:pPr>
        <w:pStyle w:val="BodyText"/>
      </w:pPr>
      <w:r>
        <w:rPr>
          <w:b/>
          <w:bCs/>
        </w:rPr>
        <w:t xml:space="preserve">References</w:t>
      </w:r>
    </w:p>
    <w:p>
      <w:pPr>
        <w:pStyle w:val="BodyText"/>
      </w:pPr>
      <w:r>
        <w:t xml:space="preserve">[19] Dominguez, G. (2026, June 24). China’s mineral export controls test Japan’s military buildup. The Japan Times. https://www.japantimes.co.jp/news/2026/06/24/japan/china-mineral-export-controls-japan-military/</w:t>
      </w:r>
      <w:r>
        <w:t xml:space="preserve"> </w:t>
      </w:r>
      <w:r>
        <w:t xml:space="preserve">[20] Kyodo. (2026, June 24). Japanese heavy electric machinery company worker detained in China. Kyodo / Nikkei Asia. https://asia.nikkei.com/Politics/International-relations/Japan-China/Japanese-heavy-electric-machinery-company-worker-detained-in-China</w:t>
      </w:r>
      <w:r>
        <w:t xml:space="preserve"> </w:t>
      </w:r>
      <w:r>
        <w:t xml:space="preserve">[21] Center for Strategic and International Studies. (2026). China’s rare earth campaign against Japan. CSIS. https://www.csis.org/analysis/chinas-rare-earth-campaign-against-japan</w:t>
      </w:r>
    </w:p>
    <w:p>
      <w:r>
        <w:pict>
          <v:rect style="width:0;height:1.5pt" o:hralign="center" o:hrstd="t" o:hr="t"/>
        </w:pict>
      </w:r>
    </w:p>
    <w:bookmarkEnd w:id="19"/>
    <w:bookmarkStart w:id="20" w:name="欧中贸易战升级4210亿美元逆差催生7月1日对华电商小包征费"/>
    <w:p>
      <w:pPr>
        <w:pStyle w:val="Heading3"/>
      </w:pPr>
      <w:r>
        <w:rPr>
          <w:rFonts w:hint="eastAsia"/>
        </w:rPr>
        <w:t xml:space="preserve">欧中贸易战升级，4210亿美元逆差催生7月1日对华电商小包征费</w:t>
      </w:r>
    </w:p>
    <w:p>
      <w:pPr>
        <w:pStyle w:val="FirstParagraph"/>
      </w:pPr>
      <w:r>
        <w:rPr>
          <w:rFonts w:hint="eastAsia"/>
        </w:rPr>
        <w:t xml:space="preserve">欧盟2025年对华商品贸易逆差达到约4210亿美元，创历史新高，主要由电动汽车、太阳能板、电池和消费电子拉动。作为回应，自2026年7月1日起，欧盟将对来自中国电商平台、单件价值低于150欧元（约175美元）的包裹征收3.50欧元（约3.50美元）的固定费用，直指Shein、Temu、AliExpress等平台。</w:t>
      </w:r>
    </w:p>
    <w:p>
      <w:pPr>
        <w:pStyle w:val="BodyText"/>
      </w:pPr>
      <w:r>
        <w:rPr>
          <w:rFonts w:hint="eastAsia"/>
        </w:rPr>
        <w:t xml:space="preserve">这一征费针对的是规模惊人的小额包裹流量。2024年，欧盟从中国进口约46亿件价值低于150欧元的包裹，占其全部此类进口的91%。欧盟理事会2025年12月已就7月1日起对小额包裹征收固定关税达成一致，法国、比利时、德国、卢森堡和荷兰则推动尽早引入2欧元的海关处理费。该固定关税被视为过渡措施，欧盟计划到2028年彻底取消150欧元的免税门槛。</w:t>
      </w:r>
    </w:p>
    <w:p>
      <w:pPr>
        <w:pStyle w:val="BodyText"/>
      </w:pPr>
      <w:r>
        <w:rPr>
          <w:rFonts w:hint="eastAsia"/>
        </w:rPr>
        <w:t xml:space="preserve">此次征费延续了欧盟对华贸易防御的脉络。此前欧盟已对中国电动车加征17.4%至38.1%的反补贴税（叠加在10%</w:t>
      </w:r>
      <w:r>
        <w:t xml:space="preserve"> </w:t>
      </w:r>
      <w:r>
        <w:rPr>
          <w:rFonts w:hint="eastAsia"/>
        </w:rPr>
        <w:t xml:space="preserve">MFN最惠国税率之上），并对太阳能板征收反倾销税。整体节奏与美国301条款的对华升级相似，约滞后一到两年。</w:t>
      </w:r>
    </w:p>
    <w:p>
      <w:pPr>
        <w:pStyle w:val="BodyText"/>
      </w:pPr>
      <w:r>
        <w:rPr>
          <w:b/>
          <w:bCs/>
        </w:rPr>
        <w:t xml:space="preserve">References</w:t>
      </w:r>
    </w:p>
    <w:p>
      <w:pPr>
        <w:pStyle w:val="BodyText"/>
      </w:pPr>
      <w:r>
        <w:t xml:space="preserve">[22] Reuter, M. (2026, June 24). Europe follows US in closing gates on China low-cost export surge as EU-China trade war escalates. Economy.ac. https://economy.ac/europe-follows-us-closing-gates-china-low-cost-export-surge-eu-china-trade-war-escalates/</w:t>
      </w:r>
      <w:r>
        <w:t xml:space="preserve"> </w:t>
      </w:r>
      <w:r>
        <w:t xml:space="preserve">[23] Council of the European Union. (2025, December 12). Customs: Council agrees to levy customs duty on small parcels as of 1 July 2026. Consilium. https://www.consilium.europa.eu/en/press/press-releases/2025/12/12/customs-council-agrees-to-levy-customs-duty-on-small-parcels-as-of-1-july-2026/</w:t>
      </w:r>
      <w:r>
        <w:t xml:space="preserve"> </w:t>
      </w:r>
      <w:r>
        <w:t xml:space="preserve">[24] Euronews. (2025, December 12). EU countries agree temporary €3 flat customs fee for small imported parcels. Euronews. https://www.euronews.com/my-europe/2025/12/12/eu-countries-agree-temporary-3-flat-customs-fee-for-small-imported-parcels</w:t>
      </w:r>
    </w:p>
    <w:p>
      <w:r>
        <w:pict>
          <v:rect style="width:0;height:1.5pt" o:hralign="center" o:hrstd="t" o:hr="t"/>
        </w:pict>
      </w:r>
    </w:p>
    <w:bookmarkEnd w:id="20"/>
    <w:bookmarkEnd w:id="21"/>
    <w:bookmarkStart w:id="24" w:name="六企业ipo与并购"/>
    <w:p>
      <w:pPr>
        <w:pStyle w:val="Heading2"/>
      </w:pPr>
      <w:r>
        <w:rPr>
          <w:rFonts w:hint="eastAsia"/>
        </w:rPr>
        <w:t xml:space="preserve">六、企业IPO与并购</w:t>
      </w:r>
    </w:p>
    <w:bookmarkStart w:id="22" w:name="华润新能源募资36亿美元创2009年以来中国境内最大ipo"/>
    <w:p>
      <w:pPr>
        <w:pStyle w:val="Heading3"/>
      </w:pPr>
      <w:r>
        <w:rPr>
          <w:rFonts w:hint="eastAsia"/>
        </w:rPr>
        <w:t xml:space="preserve">华润新能源募资36亿美元，创2009年以来中国境内最大IPO</w:t>
      </w:r>
    </w:p>
    <w:p>
      <w:pPr>
        <w:pStyle w:val="FirstParagraph"/>
      </w:pPr>
      <w:r>
        <w:rPr>
          <w:rFonts w:hint="eastAsia"/>
        </w:rPr>
        <w:t xml:space="preserve">华润电力控股旗下子公司华润新能源在深圳证券交易所IPO，募资约36亿美元（约280亿港元），发行价为每股10.11元人民币。这是2009年京沪高铁募资307亿元人民币以来，中国境内（A股）规模最大的IPO。</w:t>
      </w:r>
    </w:p>
    <w:p>
      <w:pPr>
        <w:pStyle w:val="BodyText"/>
      </w:pPr>
      <w:r>
        <w:rPr>
          <w:rFonts w:hint="eastAsia"/>
        </w:rPr>
        <w:t xml:space="preserve">散户认购火爆。零售部分获得约6.4万亿元人民币的认购资金，对应零售配额约683.4倍的超额认购倍数。本次发行中，中国诚通控股、深圳燃气、陕投集团、中国人寿、新华保险、泰康人寿及全国社会保障基金等战略投资者认购了基础发行量约一半的股份。</w:t>
      </w:r>
    </w:p>
    <w:p>
      <w:pPr>
        <w:pStyle w:val="BodyText"/>
      </w:pPr>
      <w:r>
        <w:rPr>
          <w:rFonts w:hint="eastAsia"/>
        </w:rPr>
        <w:t xml:space="preserve">华润新能源是从华润电力分拆出的风电与太阳能发电企业，募集资金将用于风光项目建设。这笔交易反映出中国境内资本市场对国资背景新能源资产的旺盛需求。</w:t>
      </w:r>
    </w:p>
    <w:p>
      <w:pPr>
        <w:pStyle w:val="BodyText"/>
      </w:pPr>
      <w:r>
        <w:rPr>
          <w:b/>
          <w:bCs/>
        </w:rPr>
        <w:t xml:space="preserve">References</w:t>
      </w:r>
    </w:p>
    <w:p>
      <w:pPr>
        <w:pStyle w:val="BodyText"/>
      </w:pPr>
      <w:r>
        <w:t xml:space="preserve">[25] Chen, L. (2026, June 24). State-backed China Resources Power’s unit to raise $3.6bn in record IPO. Nikkei Asia. https://asia.nikkei.com/Business/Markets/IPO/State-backed-China-Resources-Power-s-unit-to-raise-3.6bn-in-record-IPO</w:t>
      </w:r>
      <w:r>
        <w:t xml:space="preserve"> </w:t>
      </w:r>
      <w:r>
        <w:t xml:space="preserve">[26] South China Morning Post. (2026, June 24). China Resources New Energy’s US$3.6 billion IPO smashes records on Shenzhen exchange. South China Morning Post. https://www.scmp.com/business/china-business/article/3356694/china-resources-new-energys-us36-billion-ipo-smashes-records-shenzhen-exchange</w:t>
      </w:r>
    </w:p>
    <w:p>
      <w:r>
        <w:pict>
          <v:rect style="width:0;height:1.5pt" o:hralign="center" o:hrstd="t" o:hr="t"/>
        </w:pict>
      </w:r>
    </w:p>
    <w:bookmarkEnd w:id="22"/>
    <w:bookmarkStart w:id="23" w:name="字节跳动寻求200亿美元贷款规模为史上最大离岸银团贷款"/>
    <w:p>
      <w:pPr>
        <w:pStyle w:val="Heading3"/>
      </w:pPr>
      <w:r>
        <w:rPr>
          <w:rFonts w:hint="eastAsia"/>
        </w:rPr>
        <w:t xml:space="preserve">字节跳动寻求200亿美元贷款，规模为史上最大离岸银团贷款</w:t>
      </w:r>
    </w:p>
    <w:p>
      <w:pPr>
        <w:pStyle w:val="FirstParagraph"/>
      </w:pPr>
      <w:r>
        <w:rPr>
          <w:rFonts w:hint="eastAsia"/>
        </w:rPr>
        <w:t xml:space="preserve">字节跳动（ByteDance，TikTok母公司）正寻求一笔200亿美元的离岸银团贷款，将成为其有史以来规模最大的离岸借款。贷款期限为三年，并附带最长可再延展五年的选择权。目前公司与多家国际银行处于初步磋商阶段，借款通过字节跳动的离岸实体以美元安排。</w:t>
      </w:r>
    </w:p>
    <w:p>
      <w:pPr>
        <w:pStyle w:val="BodyText"/>
      </w:pPr>
      <w:r>
        <w:rPr>
          <w:rFonts w:hint="eastAsia"/>
        </w:rPr>
        <w:t xml:space="preserve">这笔贷款若达成，将几乎是其纪录的翻倍。字节跳动去年9月刚安排了一笔95亿至108亿美元的贷款，当时已是亚洲（除日本外）规模最大的美元企业融资。此次融资正值公司加码人工智能基础设施投入之际，据报道其今年资本开支可能高达700亿美元，用于扩建数据中心和AI能力。</w:t>
      </w:r>
    </w:p>
    <w:p>
      <w:pPr>
        <w:pStyle w:val="BodyText"/>
      </w:pPr>
      <w:r>
        <w:rPr>
          <w:rFonts w:hint="eastAsia"/>
        </w:rPr>
        <w:t xml:space="preserve">字节跳动尚未披露资金用途和银团构成。路透社援引彭博社为原始消息来源。该融资规模远超5亿美元级别交易的门槛，若成功落地，料将刷新中国科技、媒体与电信行业的纪录。</w:t>
      </w:r>
    </w:p>
    <w:p>
      <w:pPr>
        <w:pStyle w:val="BodyText"/>
      </w:pPr>
      <w:r>
        <w:rPr>
          <w:b/>
          <w:bCs/>
        </w:rPr>
        <w:t xml:space="preserve">References</w:t>
      </w:r>
    </w:p>
    <w:p>
      <w:pPr>
        <w:pStyle w:val="BodyText"/>
      </w:pPr>
      <w:r>
        <w:t xml:space="preserve">[27] Sultan, A., &amp; Dhaniwala, M. (2026, June 24). ByteDance seeks $20 billion in largest-ever offshore syndicated loan. Reuters / Yahoo Finance UK. https://uk.finance.yahoo.com/news/bytedance-seeks-20-billion-largest-053217972.html</w:t>
      </w:r>
      <w:r>
        <w:t xml:space="preserve"> </w:t>
      </w:r>
      <w:r>
        <w:t xml:space="preserve">[28] Bloomberg. (2026, June 24). ByteDance seeks $20 billion in its largest-ever offshore loan. Bloomberg. https://www.bloomberg.com/news/articles/2026-06-24/bytedance-seeks-20-billion-in-its-largest-ever-offshore-loan</w:t>
      </w:r>
    </w:p>
    <w:p>
      <w:r>
        <w:pict>
          <v:rect style="width:0;height:1.5pt" o:hralign="center" o:hrstd="t" o:hr="t"/>
        </w:pict>
      </w:r>
    </w:p>
    <w:bookmarkEnd w:id="23"/>
    <w:bookmarkEnd w:id="24"/>
    <w:bookmarkStart w:id="25" w:name="七其他重要事件"/>
    <w:p>
      <w:pPr>
        <w:pStyle w:val="Heading2"/>
      </w:pPr>
      <w:r>
        <w:rPr>
          <w:rFonts w:hint="eastAsia"/>
        </w:rPr>
        <w:t xml:space="preserve">七、其他重要事件</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2026-06-24T08:54:25Z</dcterms:created>
  <dcterms:modified xsi:type="dcterms:W3CDTF">2026-06-24T08:54:25Z</dcterms:modified>
</cp:coreProperties>
</file>

<file path=docProps/custom.xml><?xml version="1.0" encoding="utf-8"?>
<Properties xmlns="http://schemas.openxmlformats.org/officeDocument/2006/custom-properties" xmlns:vt="http://schemas.openxmlformats.org/officeDocument/2006/docPropsVTypes"/>
</file>