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bcf4852d3da4e98aa473a1c0987a50abbf44829"/>
    <w:p>
      <w:pPr>
        <w:pStyle w:val="Heading1"/>
      </w:pPr>
      <w:r>
        <w:t xml:space="preserve">China Daily News Intelligence — June 24, 2026</w:t>
      </w:r>
    </w:p>
    <w:bookmarkStart w:id="10" w:name="economy-markets"/>
    <w:p>
      <w:pPr>
        <w:pStyle w:val="Heading2"/>
      </w:pPr>
      <w:r>
        <w:t xml:space="preserve">1. Economy &amp; Markets</w:t>
      </w:r>
    </w:p>
    <w:bookmarkStart w:id="9" w:name="X772429345f6074303b3d081bf1ea8d10163d41d"/>
    <w:p>
      <w:pPr>
        <w:pStyle w:val="Heading3"/>
      </w:pPr>
      <w:r>
        <w:t xml:space="preserve">Premier Li Qiang tells Summer Davos China’s export edge comes from competition, not state subsidies</w:t>
      </w:r>
    </w:p>
    <w:p>
      <w:pPr>
        <w:pStyle w:val="FirstParagraph"/>
      </w:pPr>
      <w:r>
        <w:t xml:space="preserve">Li Qiang told the opening plenary of the 17th Annual Meeting of the New Champions in Dalian on June 24 that China’s manufacturing dominance is not bought with state money. The premier rejected the Western charge that subsidies drive the country’s export surge, attributing it instead to a fiercely competitive domestic market, private investment in innovation, and the efficiency of an integrated manufacturing supply chain. The trade surplus, he argued, is the natural byproduct of productivity rather than policy.</w:t>
      </w:r>
      <w:r>
        <w:t xml:space="preserve"> </w:t>
      </w:r>
      <w:r>
        <w:t xml:space="preserve">“The Chinese government is not that wealthy yet, and we cannot afford such subsidies either,”</w:t>
      </w:r>
      <w:r>
        <w:t xml:space="preserve"> </w:t>
      </w:r>
      <w:r>
        <w:t xml:space="preserve">he said.</w:t>
      </w:r>
    </w:p>
    <w:p>
      <w:pPr>
        <w:pStyle w:val="BodyText"/>
      </w:pPr>
      <w:r>
        <w:t xml:space="preserve">Li urged the audience of officials and executives from more than 90 economies to read China not as a threat but as a</w:t>
      </w:r>
      <w:r>
        <w:t xml:space="preserve"> </w:t>
      </w:r>
      <w:r>
        <w:t xml:space="preserve">“China Opportunity 2.0”</w:t>
      </w:r>
      <w:r>
        <w:t xml:space="preserve"> </w:t>
      </w:r>
      <w:r>
        <w:t xml:space="preserve">— his counter to the</w:t>
      </w:r>
      <w:r>
        <w:t xml:space="preserve"> </w:t>
      </w:r>
      <w:r>
        <w:t xml:space="preserve">“China Shock 2.0”</w:t>
      </w:r>
      <w:r>
        <w:t xml:space="preserve"> </w:t>
      </w:r>
      <w:r>
        <w:t xml:space="preserve">narrative gaining traction in Washington and Brussels — and to resist protectionism in favour of open cooperation. He framed Huawei’s global expansion as market-driven, defending it against accusations of state backing, and said Beijing welcomes</w:t>
      </w:r>
      <w:r>
        <w:t xml:space="preserve"> </w:t>
      </w:r>
      <w:r>
        <w:t xml:space="preserve">“fair competition.”</w:t>
      </w:r>
      <w:r>
        <w:t xml:space="preserve"> </w:t>
      </w:r>
      <w:r>
        <w:t xml:space="preserve">China has extended zero-tariff treatment to developing economies and has ranked as the world’s second-largest importer for 17 straight years, with import growth outpacing exports so far in 2026.</w:t>
      </w:r>
    </w:p>
    <w:p>
      <w:pPr>
        <w:pStyle w:val="BodyText"/>
      </w:pPr>
      <w:r>
        <w:t xml:space="preserve">The remarks land as the EU prepares to impose a parcel levy on Chinese e-commerce platforms on July 1 and as the bloc’s countervailing duties on Chinese electric vehicles remain in force. The forum, held June 23–24 in Dalian and known as Summer Davos, is the World Economic Forum’s mid-year gathering. Li met Bangladesh’s prime minister Tarique Rahman on the sidelines.</w:t>
      </w:r>
    </w:p>
    <w:p>
      <w:pPr>
        <w:pStyle w:val="BodyText"/>
      </w:pPr>
      <w:r>
        <w:rPr>
          <w:b/>
          <w:bCs/>
        </w:rPr>
        <w:t xml:space="preserve">References</w:t>
      </w:r>
    </w:p>
    <w:p>
      <w:pPr>
        <w:pStyle w:val="BodyText"/>
      </w:pPr>
      <w:r>
        <w:t xml:space="preserve">[1] Hale, T., &amp; Olcott, E. (2026, June 24). Li Qiang tells Summer Davos audience China’s export competitiveness is not down to state subsidies. Financial Times. https://www.ft.com/content/li-qiang-summer-davos-2026-subsidies-competitiveness</w:t>
      </w:r>
      <w:r>
        <w:t xml:space="preserve"> </w:t>
      </w:r>
      <w:r>
        <w:t xml:space="preserve">[2] Anadolu Agency. (2026, June 24). Summer Davos forum opens in China as Premier Li Qiang highlights innovation, international cooperation. Anadolu Agency. https://www.aa.com.tr/en/economy/summer-davos-forum-opens-in-china-as-premier-li-qiang-highlights-innovation-international-cooperation/3671842</w:t>
      </w:r>
      <w:r>
        <w:t xml:space="preserve"> </w:t>
      </w:r>
      <w:r>
        <w:t xml:space="preserve">[3] Modern Diplomacy. (2026, June 24). China defends Huawei and tech growth as premier rejects subsidy claims. Modern Diplomacy. https://moderndiplomacy.eu/2026/06/24/china-defends-huawei-and-tech-growth-as-premier-rejects-subsidy-claims/</w:t>
      </w:r>
      <w:r>
        <w:t xml:space="preserve"> </w:t>
      </w:r>
      <w:r>
        <w:t xml:space="preserve">[4] South China Morning Post. (2026, June 24).</w:t>
      </w:r>
      <w:r>
        <w:t xml:space="preserve"> </w:t>
      </w:r>
      <w:r>
        <w:t xml:space="preserve">‘China Opportunity 2.0’</w:t>
      </w:r>
      <w:r>
        <w:t xml:space="preserve">: Li Qiang calls for revisal of Western narrative at Summer Davos. South China Morning Post. https://www.scmp.com/economy/china-economy/article/3358126/china-safe-haven-global-economy-says-premier-li-qiang-summer-davos</w:t>
      </w:r>
    </w:p>
    <w:p>
      <w:r>
        <w:pict>
          <v:rect style="width:0;height:1.5pt" o:hralign="center" o:hrstd="t" o:hr="t"/>
        </w:pict>
      </w:r>
    </w:p>
    <w:p>
      <w:pPr>
        <w:pStyle w:val="FirstParagraph"/>
      </w:pPr>
      <w:r>
        <w:rPr>
          <w:i/>
          <w:iCs/>
        </w:rPr>
        <w:t xml:space="preserve">Note: only 1 story met T1-T4 standards for this category today.</w:t>
      </w:r>
    </w:p>
    <w:bookmarkEnd w:id="9"/>
    <w:bookmarkEnd w:id="10"/>
    <w:bookmarkStart w:id="13" w:name="politics-diplomacy"/>
    <w:p>
      <w:pPr>
        <w:pStyle w:val="Heading2"/>
      </w:pPr>
      <w:r>
        <w:t xml:space="preserve">2. Politics &amp; Diplomacy</w:t>
      </w:r>
    </w:p>
    <w:bookmarkStart w:id="11" w:name="X3c923197c836ff595af1eca68da74b9511d06ca"/>
    <w:p>
      <w:pPr>
        <w:pStyle w:val="Heading3"/>
      </w:pPr>
      <w:r>
        <w:t xml:space="preserve">China’s Fujian carrier transits Taiwan Strait, drawing rare condemnation from UK, France and Germany</w:t>
      </w:r>
    </w:p>
    <w:p>
      <w:pPr>
        <w:pStyle w:val="FirstParagraph"/>
      </w:pPr>
      <w:r>
        <w:t xml:space="preserve">China’s Fujian aircraft carrier, escorted by a formation of warships, transited the Taiwan Strait on June 24, Taiwan’s Ministry of National Defense confirmed. It was only the second strait crossing on record for the carrier, after a first in December 2025. The Fujian is China’s third and most capable carrier — commissioned in November 2025, it is the world’s largest non-nuclear warship and the first Chinese ship fitted with a CATOBAR catapult launch system, putting it a generation ahead of the ski-jump Liaoning and Shandong. Taiwan’s armed forces monitored the passage throughout.</w:t>
      </w:r>
    </w:p>
    <w:p>
      <w:pPr>
        <w:pStyle w:val="BodyText"/>
      </w:pPr>
      <w:r>
        <w:t xml:space="preserve">A day after the transit, the de facto British, French and German embassies in Taipei issued a rare joint statement voicing</w:t>
      </w:r>
      <w:r>
        <w:t xml:space="preserve"> </w:t>
      </w:r>
      <w:r>
        <w:t xml:space="preserve">“serious concern”</w:t>
      </w:r>
      <w:r>
        <w:t xml:space="preserve"> </w:t>
      </w:r>
      <w:r>
        <w:t xml:space="preserve">over what they called</w:t>
      </w:r>
      <w:r>
        <w:t xml:space="preserve"> </w:t>
      </w:r>
      <w:r>
        <w:t xml:space="preserve">“novel”</w:t>
      </w:r>
      <w:r>
        <w:t xml:space="preserve"> </w:t>
      </w:r>
      <w:r>
        <w:t xml:space="preserve">Chinese military and law-enforcement activities in the waters east of Taiwan, warning the actions threaten regional stability and freedom of navigation. The three governments reiterated their opposition to</w:t>
      </w:r>
      <w:r>
        <w:t xml:space="preserve"> </w:t>
      </w:r>
      <w:r>
        <w:t xml:space="preserve">“unilateral changes to the status quo”</w:t>
      </w:r>
      <w:r>
        <w:t xml:space="preserve"> </w:t>
      </w:r>
      <w:r>
        <w:t xml:space="preserve">by force or coercion.</w:t>
      </w:r>
    </w:p>
    <w:p>
      <w:pPr>
        <w:pStyle w:val="BodyText"/>
      </w:pPr>
      <w:r>
        <w:t xml:space="preserve">Taiwan’s defence minister Wellington Koo cast the broader pattern — including an early-June 2026</w:t>
      </w:r>
      <w:r>
        <w:t xml:space="preserve"> </w:t>
      </w:r>
      <w:r>
        <w:t xml:space="preserve">“special maritime traffic law-enforcement operation”</w:t>
      </w:r>
      <w:r>
        <w:t xml:space="preserve"> </w:t>
      </w:r>
      <w:r>
        <w:t xml:space="preserve">by Chinese coast guard and military units — as</w:t>
      </w:r>
      <w:r>
        <w:t xml:space="preserve"> </w:t>
      </w:r>
      <w:r>
        <w:t xml:space="preserve">“cognitive warfare”</w:t>
      </w:r>
      <w:r>
        <w:t xml:space="preserve"> </w:t>
      </w:r>
      <w:r>
        <w:t xml:space="preserve">designed to normalise Beijing’s presence and erode Taipei’s control of the surrounding seas. The European statement is unusual: the three capitals rarely coordinate public messaging on cross-strait security, and doing so from their Taipei offices signals concern that China’s activity is escalating qualitatively, not just in frequency.</w:t>
      </w:r>
    </w:p>
    <w:p>
      <w:pPr>
        <w:pStyle w:val="BodyText"/>
      </w:pPr>
      <w:r>
        <w:rPr>
          <w:b/>
          <w:bCs/>
        </w:rPr>
        <w:t xml:space="preserve">References</w:t>
      </w:r>
    </w:p>
    <w:p>
      <w:pPr>
        <w:pStyle w:val="BodyText"/>
      </w:pPr>
      <w:r>
        <w:t xml:space="preserve">[5] Lee, Y., &amp; Blanchard, B. (2026, June 24). UK, France, Germany warn of Chinese activities off eastern Taiwan. Reuters. https://www.globalbankingandfinance.com/uk-france-germany-warn-of-chinese-activities-off-eastern-taiwan/</w:t>
      </w:r>
      <w:r>
        <w:t xml:space="preserve"> </w:t>
      </w:r>
      <w:r>
        <w:t xml:space="preserve">[6] Lin, S. (2026, June 24). China’s Fujian aircraft carrier transits Taiwan Strait. Focus Taiwan. https://focustaiwan.tw/cross-strait/202606240003</w:t>
      </w:r>
      <w:r>
        <w:t xml:space="preserve"> </w:t>
      </w:r>
      <w:r>
        <w:t xml:space="preserve">[7] Anadolu Agency. (2026, June 24). UK, France, Germany say Chinese</w:t>
      </w:r>
      <w:r>
        <w:t xml:space="preserve"> </w:t>
      </w:r>
      <w:r>
        <w:t xml:space="preserve">‘novel’</w:t>
      </w:r>
      <w:r>
        <w:t xml:space="preserve"> </w:t>
      </w:r>
      <w:r>
        <w:t xml:space="preserve">activity around Taiwan threatens region. Anadolu Agency. https://www.aa.com.tr/en/asia-pacific/uk-france-germany-say-chinese-novel-activity-around-taiwan-threatens-region/3671899</w:t>
      </w:r>
    </w:p>
    <w:p>
      <w:r>
        <w:pict>
          <v:rect style="width:0;height:1.5pt" o:hralign="center" o:hrstd="t" o:hr="t"/>
        </w:pict>
      </w:r>
    </w:p>
    <w:bookmarkEnd w:id="11"/>
    <w:bookmarkStart w:id="12" w:name="X2143109bcef70dd31d520e8b747ee6cb98e713d"/>
    <w:p>
      <w:pPr>
        <w:pStyle w:val="Heading3"/>
      </w:pPr>
      <w:r>
        <w:t xml:space="preserve">China’s Ethnic Unity Law claims jurisdiction over citizens abroad as it takes effect July 1</w:t>
      </w:r>
    </w:p>
    <w:p>
      <w:pPr>
        <w:pStyle w:val="FirstParagraph"/>
      </w:pPr>
      <w:r>
        <w:t xml:space="preserve">Article 63 of China’s Ethnic Unity Law asserts extraterritorial jurisdiction over Chinese nationals anywhere in the world, requiring them to promote ethnic unity, prohibiting any conduct that undermines it, and threatening criminal penalties enforced through consular and legal channels. The law takes effect July 1, 2026. Vice Justice Minister Hu Weilie defended the clause on June 24, calling it consistent with</w:t>
      </w:r>
      <w:r>
        <w:t xml:space="preserve"> </w:t>
      </w:r>
      <w:r>
        <w:t xml:space="preserve">“established legal principles”</w:t>
      </w:r>
      <w:r>
        <w:t xml:space="preserve"> </w:t>
      </w:r>
      <w:r>
        <w:t xml:space="preserve">and citing the practice of other countries.</w:t>
      </w:r>
    </w:p>
    <w:p>
      <w:pPr>
        <w:pStyle w:val="BodyText"/>
      </w:pPr>
      <w:r>
        <w:t xml:space="preserve">The statute’s reach turns on a deliberately broad definition.</w:t>
      </w:r>
      <w:r>
        <w:t xml:space="preserve"> </w:t>
      </w:r>
      <w:r>
        <w:t xml:space="preserve">“Ethnic unity”</w:t>
      </w:r>
      <w:r>
        <w:t xml:space="preserve"> </w:t>
      </w:r>
      <w:r>
        <w:t xml:space="preserve">is framed to track the Party’s positions on Tibetans, Uyghurs and Mongolians, so that criticism, academic research, journalism or minority-rights advocacy could all be read as undermining it. The text grew from a September 2025 draft that required ideological education and surveillance; it was passed by the National People’s Congress in March 2026.</w:t>
      </w:r>
    </w:p>
    <w:p>
      <w:pPr>
        <w:pStyle w:val="BodyText"/>
      </w:pPr>
      <w:r>
        <w:t xml:space="preserve">Legal scholars and diaspora organisations warn that Article 63 functions as a tool of transnational repression, giving Beijing a pretext to pursue activists who hold foreign passports or have never lived in mainland China. Rights advocates have flagged the law as a vehicle for forced assimilation, cautioning that it could harden temporary regional controls in Xinjiang and Tibet into binding nationwide and now cross-border obligations.</w:t>
      </w:r>
    </w:p>
    <w:p>
      <w:pPr>
        <w:pStyle w:val="BodyText"/>
      </w:pPr>
      <w:r>
        <w:rPr>
          <w:b/>
          <w:bCs/>
        </w:rPr>
        <w:t xml:space="preserve">References</w:t>
      </w:r>
    </w:p>
    <w:p>
      <w:pPr>
        <w:pStyle w:val="BodyText"/>
      </w:pPr>
      <w:r>
        <w:t xml:space="preserve">[8] Blanchard, B. (2026, June 24). China claims right to target overseas citizens with ethnic unity law. Reuters. https://www.globalbankingandfinance.com/china-claims-right-to-target-overseas-citizens-with-ethnic-unity-law/</w:t>
      </w:r>
      <w:r>
        <w:t xml:space="preserve"> </w:t>
      </w:r>
      <w:r>
        <w:t xml:space="preserve">[9] International Campaign for Tibet. (2026, June 18). New PRC Ethnic Unity and Progress Law enforces assimilation of Tibetans, contradicts national and international law. International Campaign for Tibet. https://savetibet.org/new-prc-ethnic-unity-and-progress-law/</w:t>
      </w:r>
    </w:p>
    <w:p>
      <w:r>
        <w:pict>
          <v:rect style="width:0;height:1.5pt" o:hralign="center" o:hrstd="t" o:hr="t"/>
        </w:pict>
      </w:r>
    </w:p>
    <w:p>
      <w:pPr>
        <w:pStyle w:val="FirstParagraph"/>
      </w:pPr>
      <w:r>
        <w:rPr>
          <w:i/>
          <w:iCs/>
        </w:rPr>
        <w:t xml:space="preserve">Note: only 2 stories met T1-T4 standards for this category today.</w:t>
      </w:r>
    </w:p>
    <w:bookmarkEnd w:id="12"/>
    <w:bookmarkEnd w:id="13"/>
    <w:bookmarkStart w:id="16" w:name="technology-industry"/>
    <w:p>
      <w:pPr>
        <w:pStyle w:val="Heading2"/>
      </w:pPr>
      <w:r>
        <w:t xml:space="preserve">3. Technology &amp; Industry</w:t>
      </w:r>
    </w:p>
    <w:bookmarkStart w:id="14" w:name="X382d785d3873bcd5553d82d263147dc5b263f24"/>
    <w:p>
      <w:pPr>
        <w:pStyle w:val="Heading3"/>
      </w:pPr>
      <w:r>
        <w:t xml:space="preserve">China’s LineShine supercomputer hits 2.198 exaflops to top the TOP500, ending a US run since 2017</w:t>
      </w:r>
    </w:p>
    <w:p>
      <w:pPr>
        <w:pStyle w:val="FirstParagraph"/>
      </w:pPr>
      <w:r>
        <w:t xml:space="preserve">LineShine, a previously unlisted system in Shenzhen, debuted at No. 1 on the TOP500 ranking with 2.198 exaflops on the High Performance Linpack benchmark — the first time a Chinese machine has led the list since 2017, the Sunway TaihuLight and Tianhe-2 era. The result, unveiled at the ISC High Performance Computing conference, ends a US grip on the top spot held since November 2021 by Frontier at Oak Ridge, which ran at roughly 1.206 exaflops. LineShine is about 1.82 times faster.</w:t>
      </w:r>
    </w:p>
    <w:p>
      <w:pPr>
        <w:pStyle w:val="BodyText"/>
      </w:pPr>
      <w:r>
        <w:t xml:space="preserve">What makes the machine unusual is how it got there. LineShine runs entirely on general-purpose CPUs built around a custom Chinese processor — it carries none of the advanced AI accelerators that dominate other top systems, almost certainly because the equipment to make them sits under US export controls. It is the first supercomputer to clear two exaflops of sustained double-precision performance on a CPU-only design.</w:t>
      </w:r>
    </w:p>
    <w:p>
      <w:pPr>
        <w:pStyle w:val="BodyText"/>
      </w:pPr>
      <w:r>
        <w:t xml:space="preserve">The debut sharpens a question Washington has wrestled with since restricting Nvidia’s most advanced GPUs to China: whether export controls are slowing Chinese computing or simply pushing it toward indigenous silicon. China stopped submitting many of its systems to the TOP500 years ago, wary of drawing attention amid the chip fight; LineShine’s reappearance at the top is a deliberate statement that the domestic HPC programme has kept advancing without American hardware.</w:t>
      </w:r>
    </w:p>
    <w:p>
      <w:pPr>
        <w:pStyle w:val="BodyText"/>
      </w:pPr>
      <w:r>
        <w:rPr>
          <w:b/>
          <w:bCs/>
        </w:rPr>
        <w:t xml:space="preserve">References</w:t>
      </w:r>
    </w:p>
    <w:p>
      <w:pPr>
        <w:pStyle w:val="BodyText"/>
      </w:pPr>
      <w:r>
        <w:t xml:space="preserve">[10] Power, J. (2026, June 24). China takes US crown for world’s fastest supercomputer. Al Jazeera. https://www.aljazeera.com/economy/2026/6/24/china-takes-us-crown-for-worlds-fastest-supercomputer</w:t>
      </w:r>
      <w:r>
        <w:t xml:space="preserve"> </w:t>
      </w:r>
      <w:r>
        <w:t xml:space="preserve">[11] AFP. (2026, June 24). China tops world’s fastest supercomputer ranking. Dawn. https://www.dawn.com/news/1934072/china-tops-worlds-fastest-supercomputer-ranking</w:t>
      </w:r>
      <w:r>
        <w:t xml:space="preserve"> </w:t>
      </w:r>
      <w:r>
        <w:t xml:space="preserve">[12] TOP500. (2026, June 23). LineShine debuts at No. 1 as the TOP500 enters a new global exascale era. TOP500. https://top500.org/news/lineshine-debuts-no-1-top500-enters-new-global-exascale-era/</w:t>
      </w:r>
    </w:p>
    <w:p>
      <w:r>
        <w:pict>
          <v:rect style="width:0;height:1.5pt" o:hralign="center" o:hrstd="t" o:hr="t"/>
        </w:pict>
      </w:r>
    </w:p>
    <w:bookmarkEnd w:id="14"/>
    <w:bookmarkStart w:id="15" w:name="Xfd75d321c67b9b5c0d5d6770fc4da411d6aa29c"/>
    <w:p>
      <w:pPr>
        <w:pStyle w:val="Heading3"/>
      </w:pPr>
      <w:r>
        <w:t xml:space="preserve">Morgan Stanley doubles its China humanoid robot forecast to 50,000 units for 2026</w:t>
      </w:r>
    </w:p>
    <w:p>
      <w:pPr>
        <w:pStyle w:val="FirstParagraph"/>
      </w:pPr>
      <w:r>
        <w:t xml:space="preserve">Morgan Stanley raised its 2026 forecast for China humanoid robot shipments to 50,000 units, up from 28,000 — its second upgrade this year, and roughly 3.6 times the 14,000 units it projected in January. The bank says the market has entered an</w:t>
      </w:r>
      <w:r>
        <w:t xml:space="preserve"> </w:t>
      </w:r>
      <w:r>
        <w:t xml:space="preserve">“early commercialisation catalyst phase,”</w:t>
      </w:r>
      <w:r>
        <w:t xml:space="preserve"> </w:t>
      </w:r>
      <w:r>
        <w:t xml:space="preserve">and points to one order above all others: a 6.8 billion yuan (about $1.0 billion) procurement by State Grid Corporation of China covering 500 humanoid robots, 3,000 dual-arm robots and 5,000 quadruped robots to maintain and inspect the national power grid. It is the largest commercial humanoid deployment order anywhere to date.</w:t>
      </w:r>
    </w:p>
    <w:p>
      <w:pPr>
        <w:pStyle w:val="BodyText"/>
      </w:pPr>
      <w:r>
        <w:t xml:space="preserve">Two other forces underpin the upgrade: supportive industrial policy and a maturing supply chain that has pushed localised Chinese component costs to roughly 20% below international prices. Morgan Stanley projects China’s humanoid market growing from about $2 billion in revenue in 2026 to $15 billion and 446,000 units by 2030 — a compound annual growth rate near 106%.</w:t>
      </w:r>
    </w:p>
    <w:p>
      <w:pPr>
        <w:pStyle w:val="BodyText"/>
      </w:pPr>
      <w:r>
        <w:t xml:space="preserve">The bank sketches a far longer arc too: a global humanoid market worth some $5 trillion by 2050, with China potentially fielding 302 million cumulative units. It flags the obvious caveats — battery life and real-world reliability remain unsolved — but the State Grid order signals that Chinese state buyers are now willing to move from pilots to industrial-scale procurement.</w:t>
      </w:r>
    </w:p>
    <w:p>
      <w:pPr>
        <w:pStyle w:val="BodyText"/>
      </w:pPr>
      <w:r>
        <w:rPr>
          <w:b/>
          <w:bCs/>
        </w:rPr>
        <w:t xml:space="preserve">References</w:t>
      </w:r>
    </w:p>
    <w:p>
      <w:pPr>
        <w:pStyle w:val="BodyText"/>
      </w:pPr>
      <w:r>
        <w:t xml:space="preserve">[13] Bao, A. (2026, June 24). Morgan Stanley doubles China humanoid robot market forecast. CNBC. https://www.cnbc.com/2026/06/24/morgan-stanley-china-humanoid-robot-market-forecast.html</w:t>
      </w:r>
      <w:r>
        <w:t xml:space="preserve"> </w:t>
      </w:r>
      <w:r>
        <w:t xml:space="preserve">[14] Crypto Briefing. (2026, June 24). Morgan Stanley doubles China humanoid robot shipment forecast to 50,000 units. Crypto Briefing. https://cryptobriefing.com/morgan-stanley-china-humanoid-robot-forecast/</w:t>
      </w:r>
    </w:p>
    <w:p>
      <w:r>
        <w:pict>
          <v:rect style="width:0;height:1.5pt" o:hralign="center" o:hrstd="t" o:hr="t"/>
        </w:pict>
      </w:r>
    </w:p>
    <w:p>
      <w:pPr>
        <w:pStyle w:val="FirstParagraph"/>
      </w:pPr>
      <w:r>
        <w:rPr>
          <w:i/>
          <w:iCs/>
        </w:rPr>
        <w:t xml:space="preserve">Note: only 2 stories met T1-T4 standards for this category today.</w:t>
      </w:r>
    </w:p>
    <w:bookmarkEnd w:id="15"/>
    <w:bookmarkEnd w:id="16"/>
    <w:bookmarkStart w:id="18" w:name="society-livelihood"/>
    <w:p>
      <w:pPr>
        <w:pStyle w:val="Heading2"/>
      </w:pPr>
      <w:r>
        <w:t xml:space="preserve">4. Society &amp; Livelihood</w:t>
      </w:r>
    </w:p>
    <w:bookmarkStart w:id="17" w:name="X8eb79414870f1ee8b9b700a7fc5f180b6f5a8d2"/>
    <w:p>
      <w:pPr>
        <w:pStyle w:val="Heading3"/>
      </w:pPr>
      <w:r>
        <w:t xml:space="preserve">China detains two Japanese nationals over alleged rare earth export-control violations</w:t>
      </w:r>
    </w:p>
    <w:p>
      <w:pPr>
        <w:pStyle w:val="FirstParagraph"/>
      </w:pPr>
      <w:r>
        <w:t xml:space="preserve">China detained two Japanese nationals on suspicion of smuggling goods subject to its rare earth export controls, Japanese Chief Cabinet Secretary Minoru Kihara confirmed on June 24. The first was taken into custody on May 18 in Dalian — an employee of a major Japanese heavy electric machinery company — and the second on May 25. Chinese authorities notified Japanese consular officials at each arrest. Kihara said Tokyo</w:t>
      </w:r>
      <w:r>
        <w:t xml:space="preserve"> </w:t>
      </w:r>
      <w:r>
        <w:t xml:space="preserve">“will continue taking appropriate steps”</w:t>
      </w:r>
      <w:r>
        <w:t xml:space="preserve"> </w:t>
      </w:r>
      <w:r>
        <w:t xml:space="preserve">and pressed Beijing for a fair and transparent process.</w:t>
      </w:r>
    </w:p>
    <w:p>
      <w:pPr>
        <w:pStyle w:val="BodyText"/>
      </w:pPr>
      <w:r>
        <w:t xml:space="preserve">The detentions sit at the intersection of two pressure points. China tightened its rare earth and dual-use export regime in late 2025 after former defence minister Sanae Takaichi’s remarks that an attack on Taiwan could pose an existential threat to Japan; the products at issue are dual-use rare earth materials that flow into both civilian and defence manufacturing. By February 2026 Beijing had published lists naming Japanese firms barred from receiving dual-use goods.</w:t>
      </w:r>
    </w:p>
    <w:p>
      <w:pPr>
        <w:pStyle w:val="BodyText"/>
      </w:pPr>
      <w:r>
        <w:t xml:space="preserve">This is not an isolated case. Nikkei noted that an Astellas Pharma executive detained earlier was sentenced in July 2025, part of a run of detentions of Japanese businesspeople in China that has chilled corporate travel. For Japanese manufacturers, the message is that personnel handling controlled materials now face legal exposure on Chinese soil.</w:t>
      </w:r>
    </w:p>
    <w:p>
      <w:pPr>
        <w:pStyle w:val="BodyText"/>
      </w:pPr>
      <w:r>
        <w:rPr>
          <w:b/>
          <w:bCs/>
        </w:rPr>
        <w:t xml:space="preserve">References</w:t>
      </w:r>
    </w:p>
    <w:p>
      <w:pPr>
        <w:pStyle w:val="BodyText"/>
      </w:pPr>
      <w:r>
        <w:t xml:space="preserve">[15] Reuters. (2026, June 24). China detains two Japanese nationals suspected of smuggling banned goods. Reuters. https://www.devdiscourse.com/article/headlines/3512847-china-detains-two-japanese-nationals-suspected-of-smuggling-banned-goods</w:t>
      </w:r>
      <w:r>
        <w:t xml:space="preserve"> </w:t>
      </w:r>
      <w:r>
        <w:t xml:space="preserve">[16] Jiji Press. (2026, June 24). Two Japanese held in China over suspected smuggling of banned goods. Nippon.com. https://www.nippon.com/en/news/yjj2026062400643/</w:t>
      </w:r>
      <w:r>
        <w:t xml:space="preserve"> </w:t>
      </w:r>
      <w:r>
        <w:t xml:space="preserve">[17] Kyodo. (2026, June 24). Japanese heavy electric machinery company worker detained in China. Nikkei Asia. https://asia.nikkei.com/Politics/International-relations/Japan-China/Japanese-heavy-electric-machinery-company-worker-detained-in-China</w:t>
      </w:r>
    </w:p>
    <w:p>
      <w:r>
        <w:pict>
          <v:rect style="width:0;height:1.5pt" o:hralign="center" o:hrstd="t" o:hr="t"/>
        </w:pict>
      </w:r>
    </w:p>
    <w:p>
      <w:pPr>
        <w:pStyle w:val="FirstParagraph"/>
      </w:pPr>
      <w:r>
        <w:rPr>
          <w:i/>
          <w:iCs/>
        </w:rPr>
        <w:t xml:space="preserve">Note: only 1 story met T1-T4 standards for this category today.</w:t>
      </w:r>
    </w:p>
    <w:bookmarkEnd w:id="17"/>
    <w:bookmarkEnd w:id="18"/>
    <w:bookmarkStart w:id="21" w:name="china-nexus-finance-investment"/>
    <w:p>
      <w:pPr>
        <w:pStyle w:val="Heading2"/>
      </w:pPr>
      <w:r>
        <w:t xml:space="preserve">5. China-Nexus Finance &amp; Investment</w:t>
      </w:r>
    </w:p>
    <w:bookmarkStart w:id="19" w:name="X9f89a33b541db30aa772354b2cb14eb84af5394"/>
    <w:p>
      <w:pPr>
        <w:pStyle w:val="Heading3"/>
      </w:pPr>
      <w:r>
        <w:t xml:space="preserve">China’s rare earth controls strain Japan’s defence-industrial rebuild</w:t>
      </w:r>
    </w:p>
    <w:p>
      <w:pPr>
        <w:pStyle w:val="FirstParagraph"/>
      </w:pPr>
      <w:r>
        <w:t xml:space="preserve">China’s export controls on rare earths and dual-use materials are disrupting Japan’s defence industry and heavy-electrical manufacturing supply chains, imposing real industrial and defence-industrial costs as Tokyo tries to rearm. Japan Times reported the squeeze is hitting at a sensitive moment: Japan is modernising its Self-Defense Forces under the 2022 National Security Strategy, a buildup that depends on the same critical minerals Beijing now restricts.</w:t>
      </w:r>
    </w:p>
    <w:p>
      <w:pPr>
        <w:pStyle w:val="BodyText"/>
      </w:pPr>
      <w:r>
        <w:t xml:space="preserve">The controls tightened in late 2025 after Sanae Takaichi’s Taiwan remarks, and the effect on flows has been stark. Chinese customs data show exports of dysprosium, terbium, yttrium oxide and gallium to Japan have effectively ceased since December 2025, with only marginal yttrium shipments recorded. Dysprosium and terbium are heavy rare earths essential to the high-temperature permanent magnets used in missile guidance, radar and electric drive systems — precisely the components a defence buildup cannot substitute away from quickly. In February 2026 Beijing published two lists of 20 Japanese firms each, one facing an immediate ban on dual-use exports and the other a case-by-case licensing watchlist.</w:t>
      </w:r>
    </w:p>
    <w:p>
      <w:pPr>
        <w:pStyle w:val="BodyText"/>
      </w:pPr>
      <w:r>
        <w:t xml:space="preserve">Tokyo is responding by diversifying. Japan is seeking alternative sourcing from Australia, Canada and Southeast Asia, and has begun deep-sea rare earth mining tests in the Pacific near Minamitori Island, targeting deposits roughly 6,000 metres down. Those alternatives take years to mature, leaving Japanese manufacturers exposed in the interim — the same exposure that produced this week’s detentions of company personnel in Dalian.</w:t>
      </w:r>
    </w:p>
    <w:p>
      <w:pPr>
        <w:pStyle w:val="BodyText"/>
      </w:pPr>
      <w:r>
        <w:rPr>
          <w:b/>
          <w:bCs/>
        </w:rPr>
        <w:t xml:space="preserve">References</w:t>
      </w:r>
    </w:p>
    <w:p>
      <w:pPr>
        <w:pStyle w:val="BodyText"/>
      </w:pPr>
      <w:r>
        <w:t xml:space="preserve">[18] Dominguez, G. (2026, June 24). China mineral export controls test Japan’s military rebuild. Japan Times. https://www.japantimes.co.jp/news/2026/06/24/japan/china-mineral-export-controls-japan-military/</w:t>
      </w:r>
      <w:r>
        <w:t xml:space="preserve"> </w:t>
      </w:r>
      <w:r>
        <w:t xml:space="preserve">[19] Kyodo. (2026, June 24). Japanese heavy electric machinery company worker detained in China. Nikkei Asia. https://asia.nikkei.com/Politics/International-relations/Japan-China/Japanese-heavy-electric-machinery-company-worker-detained-in-China</w:t>
      </w:r>
      <w:r>
        <w:t xml:space="preserve"> </w:t>
      </w:r>
      <w:r>
        <w:t xml:space="preserve">[20] Foundation for Defense of Democracies. (2026, January 12). China reportedly blocks rare earth exports to Japan, targeting defense supply chains. Foundation for Defense of Democracies. https://www.fdd.org/analysis/2026/01/12/china-reportedly-blocks-rare-earth-exports-to-japan-targeting-defense-supply-chains/</w:t>
      </w:r>
      <w:r>
        <w:t xml:space="preserve"> </w:t>
      </w:r>
      <w:r>
        <w:t xml:space="preserve">[21] East Asia Forum. (2026, March 11). China’s economic coercion strengthens Takaichi’s hand. East Asia Forum. https://eastasiaforum.org/2026/03/11/chinas-economic-coercion-strengthens-takaichis-hand/</w:t>
      </w:r>
    </w:p>
    <w:p>
      <w:r>
        <w:pict>
          <v:rect style="width:0;height:1.5pt" o:hralign="center" o:hrstd="t" o:hr="t"/>
        </w:pict>
      </w:r>
    </w:p>
    <w:bookmarkEnd w:id="19"/>
    <w:bookmarkStart w:id="20" w:name="X147b4231830980529e07eb0432c7e9b2ebf6521"/>
    <w:p>
      <w:pPr>
        <w:pStyle w:val="Heading3"/>
      </w:pPr>
      <w:r>
        <w:t xml:space="preserve">EU-China trade war escalates as record $421 billion deficit drives a July 1 parcel levy</w:t>
      </w:r>
    </w:p>
    <w:p>
      <w:pPr>
        <w:pStyle w:val="FirstParagraph"/>
      </w:pPr>
      <w:r>
        <w:t xml:space="preserve">The EU’s merchandise trade deficit with China reached about $421 billion in 2025, a record, driven by electric vehicles, solar panels, batteries and consumer electronics. That imbalance is the backdrop to a new measure taking effect July 1, 2026: a €3.50 (about $3.50) fixed charge on parcels valued below €150 (about $175) shipped from Chinese e-commerce platforms, aimed squarely at Shein, Temu and AliExpress.</w:t>
      </w:r>
    </w:p>
    <w:p>
      <w:pPr>
        <w:pStyle w:val="BodyText"/>
      </w:pPr>
      <w:r>
        <w:t xml:space="preserve">The scale of the flow the EU is trying to tax is enormous. Roughly 4.6 billion sub-€150 parcels entered the bloc from China in 2024, around 91% of all such low-value imports. The charge ends the de minimis exemption these platforms built their direct-to-consumer models around. The duty applies per item and per tariff classification, so a single parcel holding a phone, a charger and earphones draws three separate charges rather than one. A separate handling fee on low-value parcels is slated for later in 2026, with terms still under negotiation.</w:t>
      </w:r>
    </w:p>
    <w:p>
      <w:pPr>
        <w:pStyle w:val="BodyText"/>
      </w:pPr>
      <w:r>
        <w:t xml:space="preserve">The levy is one piece of a widening confrontation. It follows EU countervailing duties on Chinese EVs of 17.4%–38.1% on top of the 10% MFN tariff, and anti-dumping duties on Chinese solar panels. Brussels’ trajectory tracks US Section 301 escalation with a one-to-two-year lag — Europe closing the gates the US shut earlier. Shein and Temu are already adapting, expanding EU-based warehousing to shift the cost base from per-item parcel duty to bulk commercial customs.</w:t>
      </w:r>
    </w:p>
    <w:p>
      <w:pPr>
        <w:pStyle w:val="BodyText"/>
      </w:pPr>
      <w:r>
        <w:rPr>
          <w:b/>
          <w:bCs/>
        </w:rPr>
        <w:t xml:space="preserve">References</w:t>
      </w:r>
    </w:p>
    <w:p>
      <w:pPr>
        <w:pStyle w:val="BodyText"/>
      </w:pPr>
      <w:r>
        <w:t xml:space="preserve">[22] Reuter, M. (2026, June 24). Europe follows US in closing gates on China low-cost export surge as EU-China trade war escalates. Economy.ac. https://economy.ac/europe-follows-us-closing-gates-china-low-cost-export-surge-eu-china-trade-war-escalates/</w:t>
      </w:r>
      <w:r>
        <w:t xml:space="preserve"> </w:t>
      </w:r>
      <w:r>
        <w:t xml:space="preserve">[23] Council of the European Union. (2025, December 12). Customs: Council agrees to levy customs duty on small parcels as of 1 July 2026. Council of the European Union. https://www.consilium.europa.eu/en/press/press-releases/2025/12/12/customs-council-agrees-to-levy-customs-duty-on-small-parcels-as-of-1-july-2026/</w:t>
      </w:r>
    </w:p>
    <w:p>
      <w:r>
        <w:pict>
          <v:rect style="width:0;height:1.5pt" o:hralign="center" o:hrstd="t" o:hr="t"/>
        </w:pict>
      </w:r>
    </w:p>
    <w:bookmarkEnd w:id="20"/>
    <w:bookmarkEnd w:id="21"/>
    <w:bookmarkStart w:id="24" w:name="corporate-ipo-ma"/>
    <w:p>
      <w:pPr>
        <w:pStyle w:val="Heading2"/>
      </w:pPr>
      <w:r>
        <w:t xml:space="preserve">6. Corporate IPO &amp; M&amp;A</w:t>
      </w:r>
    </w:p>
    <w:bookmarkStart w:id="22" w:name="X8ac8e81bf13868e5b51357945bd1b90f6a56e37"/>
    <w:p>
      <w:pPr>
        <w:pStyle w:val="Heading3"/>
      </w:pPr>
      <w:r>
        <w:t xml:space="preserve">China Resources New Energy raises $3.6 billion in China’s largest onshore IPO since 2009</w:t>
      </w:r>
    </w:p>
    <w:p>
      <w:pPr>
        <w:pStyle w:val="FirstParagraph"/>
      </w:pPr>
      <w:r>
        <w:t xml:space="preserve">China Resources New Energy, a unit of state-backed China Resources Power Holdings, is raising about $3.6 billion (roughly HKD 28 billion) in an IPO on the Shenzhen Stock Exchange, priced at 10.11 yuan per share. It is China’s largest onshore A-share listing since 2009, when the Beijing-Shanghai High-Speed Railway raised 30.7 billion yuan in Shanghai, and the biggest Shenzhen IPO on record — surpassing Yihai Kerry Arawana’s 13.9 billion yuan debut in 2020.</w:t>
      </w:r>
    </w:p>
    <w:p>
      <w:pPr>
        <w:pStyle w:val="BodyText"/>
      </w:pPr>
      <w:r>
        <w:t xml:space="preserve">Demand was extraordinary. Retail subscription books drew about 6.4 trillion yuan in bids, oversubscribing the retail tranche roughly 683.4 times. The company develops and operates wind farms and photovoltaic plants and serves as the renewable-energy platform of its parent group, with proceeds earmarked to fund further wind and solar capacity.</w:t>
      </w:r>
    </w:p>
    <w:p>
      <w:pPr>
        <w:pStyle w:val="BodyText"/>
      </w:pPr>
      <w:r>
        <w:t xml:space="preserve">The deal is a marker for China’s A-share market, which has seen large state-linked listings revive after a fallow stretch, and it channels household savings into the renewable buildout Beijing has put at the centre of its industrial agenda. China Resources New Energy is also set to become the first red-chip company to trade on the Shenzhen bourse.</w:t>
      </w:r>
    </w:p>
    <w:p>
      <w:pPr>
        <w:pStyle w:val="BodyText"/>
      </w:pPr>
      <w:r>
        <w:rPr>
          <w:b/>
          <w:bCs/>
        </w:rPr>
        <w:t xml:space="preserve">References</w:t>
      </w:r>
    </w:p>
    <w:p>
      <w:pPr>
        <w:pStyle w:val="BodyText"/>
      </w:pPr>
      <w:r>
        <w:t xml:space="preserve">[24] Chen, L. (2026, June 24). State-backed China Resources Power’s unit to raise $3.6bn in record IPO. Nikkei Asia. https://asia.nikkei.com/Business/Markets/IPO/State-backed-China-Resources-Power-s-unit-to-raise-3.6bn-in-record-IPO</w:t>
      </w:r>
      <w:r>
        <w:t xml:space="preserve"> </w:t>
      </w:r>
      <w:r>
        <w:t xml:space="preserve">[25] South China Morning Post. (2026, June 24). China Resources New Energy’s US$3.6 billion IPO smashes records on Shenzhen exchange. South China Morning Post. https://www.scmp.com/business/china-business/article/3356694/china-resources-new-energys-us36-billion-ipo-smashes-records-shenzhen-exchange</w:t>
      </w:r>
    </w:p>
    <w:p>
      <w:r>
        <w:pict>
          <v:rect style="width:0;height:1.5pt" o:hralign="center" o:hrstd="t" o:hr="t"/>
        </w:pict>
      </w:r>
    </w:p>
    <w:bookmarkEnd w:id="22"/>
    <w:bookmarkStart w:id="23" w:name="X186ceaf74bb12fc0ab58dfa0440c559778d4c8d"/>
    <w:p>
      <w:pPr>
        <w:pStyle w:val="Heading3"/>
      </w:pPr>
      <w:r>
        <w:t xml:space="preserve">ByteDance seeks $20 billion in its largest-ever offshore syndicated loan</w:t>
      </w:r>
    </w:p>
    <w:p>
      <w:pPr>
        <w:pStyle w:val="FirstParagraph"/>
      </w:pPr>
      <w:r>
        <w:t xml:space="preserve">ByteDance, the parent of TikTok, is in preliminary talks with international banks for a $20 billion offshore syndicated loan — what would be the largest offshore borrowing the company has ever arranged. The facility carries a three-year tenor with an option to extend up to five additional years, structured as an offshore US-dollar loan via ByteDance’s overseas entities. Reuters, citing Bloomberg News as the original source, said the use of proceeds and the syndicate’s composition have not been disclosed.</w:t>
      </w:r>
    </w:p>
    <w:p>
      <w:pPr>
        <w:pStyle w:val="BodyText"/>
      </w:pPr>
      <w:r>
        <w:t xml:space="preserve">The size nearly doubles ByteDance’s previous record. The last time the company tapped the global loan market was in 2024, when it raised $10.8 billion through more than 20 lenders. A successful close at $20 billion would set a new benchmark for China’s technology, media and telecom sector.</w:t>
      </w:r>
    </w:p>
    <w:p>
      <w:pPr>
        <w:pStyle w:val="BodyText"/>
      </w:pPr>
      <w:r>
        <w:t xml:space="preserve">The borrowing comes as ByteDance ramps up spending on AI infrastructure, expanding partnerships to secure chips and chip-design services. A loan of this scale gives the company a large pool of offshore dollars at a time when Chinese tech firms face constraints on accessing advanced US hardware — capital it can deploy outside mainland funding channels.</w:t>
      </w:r>
    </w:p>
    <w:p>
      <w:pPr>
        <w:pStyle w:val="BodyText"/>
      </w:pPr>
      <w:r>
        <w:rPr>
          <w:b/>
          <w:bCs/>
        </w:rPr>
        <w:t xml:space="preserve">References</w:t>
      </w:r>
    </w:p>
    <w:p>
      <w:pPr>
        <w:pStyle w:val="BodyText"/>
      </w:pPr>
      <w:r>
        <w:t xml:space="preserve">[26] Sultan, A., &amp; Dhaniwala, M. (2026, June 24). ByteDance seeks $20 billion in largest-ever offshore loan. Reuters. https://uk.finance.yahoo.com/news/bytedance-seeks-20-billion-largest-053217972.html</w:t>
      </w:r>
      <w:r>
        <w:t xml:space="preserve"> </w:t>
      </w:r>
      <w:r>
        <w:t xml:space="preserve">[27] Bloomberg. (2026, June 24). ByteDance seeks $20 billion in its largest-ever offshore loan. Bloomberg. https://www.bloomberg.com/news/articles/2026-06-24/bytedance-seeks-20-billion-in-its-largest-ever-offshore-loan</w:t>
      </w:r>
    </w:p>
    <w:p>
      <w:r>
        <w:pict>
          <v:rect style="width:0;height:1.5pt" o:hralign="center" o:hrstd="t" o:hr="t"/>
        </w:pict>
      </w:r>
    </w:p>
    <w:p>
      <w:pPr>
        <w:pStyle w:val="FirstParagraph"/>
      </w:pPr>
      <w:r>
        <w:rPr>
          <w:i/>
          <w:iCs/>
        </w:rPr>
        <w:t xml:space="preserve">Note: only 2 stories met T1-T4 standards for this category today.</w:t>
      </w:r>
    </w:p>
    <w:bookmarkEnd w:id="23"/>
    <w:bookmarkEnd w:id="24"/>
    <w:bookmarkStart w:id="25" w:name="other-notable-events"/>
    <w:p>
      <w:pPr>
        <w:pStyle w:val="Heading2"/>
      </w:pPr>
      <w:r>
        <w:t xml:space="preserve">7. Other Notable Events</w:t>
      </w:r>
    </w:p>
    <w:p>
      <w:pPr>
        <w:pStyle w:val="FirstParagraph"/>
      </w:pPr>
      <w:r>
        <w:rPr>
          <w:i/>
          <w:iCs/>
        </w:rPr>
        <w:t xml:space="preserve">Note: only 0 stories met T1-T4 standards for this category today.</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2026-06-24T08:54:25Z</dcterms:created>
  <dcterms:modified xsi:type="dcterms:W3CDTF">2026-06-24T08:54:25Z</dcterms:modified>
</cp:coreProperties>
</file>

<file path=docProps/custom.xml><?xml version="1.0" encoding="utf-8"?>
<Properties xmlns="http://schemas.openxmlformats.org/officeDocument/2006/custom-properties" xmlns:vt="http://schemas.openxmlformats.org/officeDocument/2006/docPropsVTypes"/>
</file>