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1" w:name="欧洲每日热点新闻-2026年6月9日"/>
    <w:p>
      <w:pPr>
        <w:pStyle w:val="Heading1"/>
      </w:pPr>
      <w:r>
        <w:rPr>
          <w:rFonts w:hint="eastAsia"/>
        </w:rPr>
        <w:t xml:space="preserve">欧洲每日热点新闻</w:t>
      </w:r>
      <w:r>
        <w:t xml:space="preserve"> — </w:t>
      </w:r>
      <w:r>
        <w:rPr>
          <w:rFonts w:hint="eastAsia"/>
        </w:rPr>
        <w:t xml:space="preserve">2026年6月9日</w:t>
      </w:r>
    </w:p>
    <w:bookmarkStart w:id="12" w:name="一经济与市场"/>
    <w:p>
      <w:pPr>
        <w:pStyle w:val="Heading2"/>
      </w:pPr>
      <w:r>
        <w:rPr>
          <w:rFonts w:hint="eastAsia"/>
        </w:rPr>
        <w:t xml:space="preserve">一、经济与市场</w:t>
      </w:r>
    </w:p>
    <w:bookmarkStart w:id="9" w:name="欧盟统计局双向贸易企业仅占21.3却贡献95.4货物贸易额"/>
    <w:p>
      <w:pPr>
        <w:pStyle w:val="Heading3"/>
      </w:pPr>
      <w:r>
        <w:rPr>
          <w:rFonts w:hint="eastAsia"/>
        </w:rPr>
        <w:t xml:space="preserve">欧盟统计局：双向贸易企业仅占21.3%，却贡献95.4%货物贸易额</w:t>
      </w:r>
    </w:p>
    <w:p>
      <w:pPr>
        <w:pStyle w:val="FirstParagraph"/>
      </w:pPr>
      <w:r>
        <w:rPr>
          <w:rFonts w:hint="eastAsia"/>
        </w:rPr>
        <w:t xml:space="preserve">欧盟统计局6月9日公布的2024年数据显示，欧盟从事跨境货物贸易的企业中，仅21.3%为“双向贸易商”（同时进口和出口），70.6%只进口，8.1%只出口；然而这21.3%的双向贸易商贡献了95.4%的货物贸易价值，单纯进口商仅占3.7%，单纯出口商0.9%。这一极端的价值集中度揭示了欧盟外贸结构的核心特征：少数高度全球化的大型制造企业承担了几乎全部跨境货物流通。</w:t>
      </w:r>
    </w:p>
    <w:p>
      <w:pPr>
        <w:pStyle w:val="BodyText"/>
      </w:pPr>
      <w:r>
        <w:rPr>
          <w:rFonts w:hint="eastAsia"/>
        </w:rPr>
        <w:t xml:space="preserve">按行业看，制造业的双向贸易商占比最高，达43.8%，其次是采矿与采石业36.8%、批发与零售业29.6%；建筑业最低，仅8.4%。这一分布说明欧盟工业的对外依存度集中在制造业核心环节——汽车、机械、化工等出口型行业既是欧盟竞争力的支柱，也是关税冲击和供应链中断的首要受害者。统计局长期数据进一步显示，意大利前1000家出口企业贡献了全国51.0%的出口价值，德国为65.1%、波兰65.7%、西班牙68.2%，意味着一国出口在很大程度上依赖于不足千家的关键制造商。这种“少数主体—巨额价值”的双层结构使欧盟在面对美方关税威胁、能源价格冲击和中国低价竞争时缺乏分散性缓冲，单一龙头企业的减产或迁出都可能在统计意义上拖累整体贸易差额。</w:t>
      </w:r>
    </w:p>
    <w:p>
      <w:pPr>
        <w:pStyle w:val="BodyText"/>
      </w:pPr>
      <w:r>
        <w:rPr>
          <w:b/>
          <w:bCs/>
        </w:rPr>
        <w:t xml:space="preserve">References</w:t>
      </w:r>
    </w:p>
    <w:p>
      <w:pPr>
        <w:pStyle w:val="BodyText"/>
      </w:pPr>
      <w:r>
        <w:t xml:space="preserve">[1] Eurostat. (2026, June 9). A fifth of EU enterprises engage in two-way trade. Eurostat. https://ec.europa.eu/eurostat/web/products-eurostat-news/w/ddn-20260609-1</w:t>
      </w:r>
      <w:r>
        <w:t xml:space="preserve"> </w:t>
      </w:r>
      <w:r>
        <w:t xml:space="preserve">[2] Eurostat. (2026). International trade in goods by enterprise characteristic. Eurostat Statistics Explained. https://ec.europa.eu/eurostat/statistics-explained/index.php?title=International_trade_in_goods_by_enterprise_characteristic</w:t>
      </w:r>
    </w:p>
    <w:p>
      <w:r>
        <w:pict>
          <v:rect style="width:0;height:1.5pt" o:hralign="center" o:hrstd="t" o:hr="t"/>
        </w:pict>
      </w:r>
    </w:p>
    <w:bookmarkEnd w:id="9"/>
    <w:bookmarkStart w:id="10" w:name="德国4月工业产出回升0.4ing经济学家斥之远远不够"/>
    <w:p>
      <w:pPr>
        <w:pStyle w:val="Heading3"/>
      </w:pPr>
      <w:r>
        <w:rPr>
          <w:rFonts w:hint="eastAsia"/>
        </w:rPr>
        <w:t xml:space="preserve">德国4月工业产出回升0.4%，ING经济学家斥之“远远不够”</w:t>
      </w:r>
    </w:p>
    <w:p>
      <w:pPr>
        <w:pStyle w:val="FirstParagraph"/>
      </w:pPr>
      <w:r>
        <w:rPr>
          <w:rFonts w:hint="eastAsia"/>
        </w:rPr>
        <w:t xml:space="preserve">德国联邦统计局6月9日公布，4月工业产出环比上升0.4%，为2026年首次月度增长。建筑业活动环比涨2.4%，出口边际上升0.9%。但新制造业订单同月下挫3.8%，汽车业订单跌幅超过5%，外国订单跌幅超过4%。德国工业产出水平仍较疫情前低约12%。ING全球宏观主管Carsten</w:t>
      </w:r>
      <w:r>
        <w:t xml:space="preserve"> </w:t>
      </w:r>
      <w:r>
        <w:rPr>
          <w:rFonts w:hint="eastAsia"/>
        </w:rPr>
        <w:t xml:space="preserve">Brzeski评价这一数据“远远不够”，并将德国整体经济基调形容为“高期望与破碎的梦想”。</w:t>
      </w:r>
    </w:p>
    <w:p>
      <w:pPr>
        <w:pStyle w:val="BodyText"/>
      </w:pPr>
      <w:r>
        <w:rPr>
          <w:rFonts w:hint="eastAsia"/>
        </w:rPr>
        <w:t xml:space="preserve">德国4月通胀率同比攀升至2.9%，能源产品价格较上年同期高出逾10%，源头是3月在中东爆发的伊朗战争所引发的能源供应冲击。德国政府已将2026年GDP增速预测从1%腰斩至0.5%，作为欧元区最大经济体（约占欧元区GDP四分之一），这一调整也意味着整个欧元区复苏前景被同步下修。德国央行最新预测亦仅为0.6%，高盛较为乐观，预计1.1%。德国此前在2026年初修改了宪法“债务刹车”条款，为国防和基础设施设立5000亿欧元专项基金，是战后单笔最大的财政授权，但工业订单结构性的下滑——尤其是电动车转型与出口需求双重承压下的汽车业——表明仅靠财政发力难以扭转制造业的结构性失血。前四个月的工业产出整体呈停滞态势，单月正增长并不构成趋势反转。</w:t>
      </w:r>
    </w:p>
    <w:p>
      <w:pPr>
        <w:pStyle w:val="BodyText"/>
      </w:pPr>
      <w:r>
        <w:rPr>
          <w:b/>
          <w:bCs/>
        </w:rPr>
        <w:t xml:space="preserve">References</w:t>
      </w:r>
    </w:p>
    <w:p>
      <w:pPr>
        <w:pStyle w:val="BodyText"/>
      </w:pPr>
      <w:r>
        <w:t xml:space="preserve">[3] Euronews. (2026, June 9). German industrial output rises for the first time this year, but is still too little. Euronews. https://www.euronews.com/business/2026/06/09/german-industrial-output-rises-for-the-first-time-this-year-but-is-still-too-little</w:t>
      </w:r>
      <w:r>
        <w:t xml:space="preserve"> </w:t>
      </w:r>
      <w:r>
        <w:t xml:space="preserve">[4] Euronews. (2026, April 22). Germany halves GDP forecast from 1% to 0.5% due to Iran war fallout. Euronews. https://www.euronews.com/business/2026/04/22/germany-halves-gdp-forecast-from-1-to-05-due-to-iran-war-fallout</w:t>
      </w:r>
      <w:r>
        <w:t xml:space="preserve"> </w:t>
      </w:r>
      <w:r>
        <w:t xml:space="preserve">[5] Goldman Sachs. (2026). German Economic Outlook: 1.1% Growth in 2026. Goldman Sachs. https://www.goldmansachs.com/insights/articles/german-economic-outlook-growth-in-2026</w:t>
      </w:r>
    </w:p>
    <w:p>
      <w:r>
        <w:pict>
          <v:rect style="width:0;height:1.5pt" o:hralign="center" o:hrstd="t" o:hr="t"/>
        </w:pict>
      </w:r>
    </w:p>
    <w:bookmarkEnd w:id="10"/>
    <w:bookmarkStart w:id="11" w:name="苏黎世房价18229欧元居欧洲之首阿姆斯特丹哥本哈根年涨超13"/>
    <w:p>
      <w:pPr>
        <w:pStyle w:val="Heading3"/>
      </w:pPr>
      <w:r>
        <w:rPr>
          <w:rFonts w:hint="eastAsia"/>
        </w:rPr>
        <w:t xml:space="preserve">苏黎世房价18,229欧元/㎡居欧洲之首，阿姆斯特丹哥本哈根年涨超13%</w:t>
      </w:r>
    </w:p>
    <w:p>
      <w:pPr>
        <w:pStyle w:val="FirstParagraph"/>
      </w:pPr>
      <w:r>
        <w:rPr>
          <w:rFonts w:hint="eastAsia"/>
        </w:rPr>
        <w:t xml:space="preserve">苏黎世以每平方米18,229欧元的公寓均价稳居欧洲最贵城市榜首，同比上涨4.2%；日内瓦16,819欧元/㎡（+3.4%）、卢塞恩12,066欧元/㎡（+7.3%）、卢森堡市10,941欧元/㎡（-0.9%）、伯尔尼9,952欧元/㎡分列其后。Euronews</w:t>
      </w:r>
      <w:r>
        <w:t xml:space="preserve"> </w:t>
      </w:r>
      <w:r>
        <w:rPr>
          <w:rFonts w:hint="eastAsia"/>
        </w:rPr>
        <w:t xml:space="preserve">6月9日援引Global</w:t>
      </w:r>
      <w:r>
        <w:t xml:space="preserve"> Property </w:t>
      </w:r>
      <w:r>
        <w:rPr>
          <w:rFonts w:hint="eastAsia"/>
        </w:rPr>
        <w:t xml:space="preserve">Guide的数据指出，巴黎以9,490欧元/㎡（-0.3%）排第六，阿姆斯特丹9,437欧元/㎡（+13.0%）第七，哥本哈根同比飙涨14.3%至8,405欧元/㎡，斯德哥尔摩8,380欧元/㎡收官前十——苏黎世均价已是巴黎的两倍多。</w:t>
      </w:r>
    </w:p>
    <w:p>
      <w:pPr>
        <w:pStyle w:val="BodyText"/>
      </w:pPr>
      <w:r>
        <w:rPr>
          <w:rFonts w:hint="eastAsia"/>
        </w:rPr>
        <w:t xml:space="preserve">瑞士房价之所以居高不下，源于多重供给瓶颈叠加。瑞士联邦住房办公室估算全国每年需新建5万套住宅，2025年仅建成约4.2万套；苏黎世空置率跌至历史低位0.07%，30至40岁的夫妇中仅约9%买得起本地住房，住房问题二十多年来首次取代交通成为该市头号民生议题。2012年修订的《空间规划法》要求各城市优先在既有建筑区域内做存量加密、而非扩张到开放地块，这一思路在保护风景与农地的同时进一步压抑了新增供给。在北欧，阿姆斯特丹和哥本哈根的两位数年涨幅则反映了完全不同的机制：能源通胀推高建材成本、人口净流入持续以及按揭利率上行后挂牌量收紧，共同将房价推上历史高位。卢森堡市的小幅回落与该市金融业雇佣节奏放缓有关——这一城市国家约三分之二的高薪岗位与跨境金融服务挂钩，需求端任何风吹草动都会率先反映在房价上。</w:t>
      </w:r>
    </w:p>
    <w:p>
      <w:pPr>
        <w:pStyle w:val="BodyText"/>
      </w:pPr>
      <w:r>
        <w:rPr>
          <w:b/>
          <w:bCs/>
        </w:rPr>
        <w:t xml:space="preserve">References</w:t>
      </w:r>
    </w:p>
    <w:p>
      <w:pPr>
        <w:pStyle w:val="BodyText"/>
      </w:pPr>
      <w:r>
        <w:t xml:space="preserve">[6] Euronews. (2026, June 9). Where apartment prices are double those in Paris: Europe’s most expensive housing markets. Euronews. https://www.euronews.com/business/2026/06/09/where-apartment-prices-are-double-those-in-paris-europes-most-expensive-housing-markets</w:t>
      </w:r>
      <w:r>
        <w:t xml:space="preserve"> </w:t>
      </w:r>
      <w:r>
        <w:t xml:space="preserve">[7] International Investment. (2025). Zurich Housing Market 2025: Prices, Yields, Restrictions, and Foreign Investor Limits. International Investment. https://internationalinvestment.biz/en/real-estate/5853-zurich-housing-market-2025-prices-yields-and-restrictions.html</w:t>
      </w:r>
    </w:p>
    <w:p>
      <w:r>
        <w:pict>
          <v:rect style="width:0;height:1.5pt" o:hralign="center" o:hrstd="t" o:hr="t"/>
        </w:pict>
      </w:r>
    </w:p>
    <w:bookmarkEnd w:id="11"/>
    <w:bookmarkEnd w:id="12"/>
    <w:bookmarkStart w:id="16" w:name="二政治与外交"/>
    <w:p>
      <w:pPr>
        <w:pStyle w:val="Heading2"/>
      </w:pPr>
      <w:r>
        <w:rPr>
          <w:rFonts w:hint="eastAsia"/>
        </w:rPr>
        <w:t xml:space="preserve">二、政治与外交</w:t>
      </w:r>
    </w:p>
    <w:bookmarkStart w:id="13" w:name="法德正式终结800亿至1000亿欧元fcas战机项目欧洲最大防务合作宣告破产"/>
    <w:p>
      <w:pPr>
        <w:pStyle w:val="Heading3"/>
      </w:pPr>
      <w:r>
        <w:rPr>
          <w:rFonts w:hint="eastAsia"/>
        </w:rPr>
        <w:t xml:space="preserve">法德正式终结800亿至1000亿欧元FCAS战机项目，欧洲最大防务合作宣告破产</w:t>
      </w:r>
    </w:p>
    <w:p>
      <w:pPr>
        <w:pStyle w:val="FirstParagraph"/>
      </w:pPr>
      <w:r>
        <w:rPr>
          <w:rFonts w:hint="eastAsia"/>
        </w:rPr>
        <w:t xml:space="preserve">德法两国6月8日至9日正式终止“未来空战系统”（FCAS）合作，达索航空与空中客车之间多年来在项目主导权、知识产权归属、收入分配及军用需求方面的争执最终无法调和。爱丽舍宫确认：“德国当局认为已无法对相关企业进一步施压。”达索CEO</w:t>
      </w:r>
      <w:r>
        <w:t xml:space="preserve"> Éric </w:t>
      </w:r>
      <w:r>
        <w:rPr>
          <w:rFonts w:hint="eastAsia"/>
        </w:rPr>
        <w:t xml:space="preserve">Trappier早在2026年3月就直言：“空客不愿再与达索合作。”该项目2017年由法国总统马克龙与时任德国总理默克尔在巴黎宣布启动，最近一次成本评估介于800亿至1000亿欧元之间，2019年加入的西班牙如今同样失去了通往新一代战机的明确路径。</w:t>
      </w:r>
    </w:p>
    <w:p>
      <w:pPr>
        <w:pStyle w:val="BodyText"/>
      </w:pPr>
      <w:r>
        <w:rPr>
          <w:rFonts w:hint="eastAsia"/>
        </w:rPr>
        <w:t xml:space="preserve">项目结构本身埋下了崩溃的种子：达索主导有人战机（NGF）核心平台研发，空客负责远程载具与“战斗云”网络化AI传感系统，西班牙Indra则承担传感器研发——这种“按国分肉”的架构令各方都觉得吃亏。技术分歧则更加根本：法国坚持要求新一代战机具备核打击能力并可从航母起降，以匹配其独立核威慑与远洋投送原则；德国对这两项能力均无需求，从而形成无法弥合的设计差异。2025年10月德国国防部长皮斯托留斯首次公开威胁退出，2026年4月18日德方调解员宣告“联合有人战机已不可行”，5月起观察员国比利时已宣布将增订11架F-35A作为替代方案。次级元素“战斗云”将作为独立模块继续推进，但欧洲未来空战的旗舰项目实质上已经分崩离析，法德工业合作模式与欧盟“战略自主”愿景同时遭遇严重挫败。</w:t>
      </w:r>
    </w:p>
    <w:p>
      <w:pPr>
        <w:pStyle w:val="BodyText"/>
      </w:pPr>
      <w:r>
        <w:rPr>
          <w:b/>
          <w:bCs/>
        </w:rPr>
        <w:t xml:space="preserve">References</w:t>
      </w:r>
    </w:p>
    <w:p>
      <w:pPr>
        <w:pStyle w:val="BodyText"/>
      </w:pPr>
      <w:r>
        <w:t xml:space="preserve">[8] Euronews. (2026, June 9). Why the Franco-German FCAS fighter jet project has failed. Euronews. https://www.euronews.com/my-europe/2026/06/09/why-the-franco-german-fcas-fighter-jet-project-has-failed</w:t>
      </w:r>
      <w:r>
        <w:t xml:space="preserve"> </w:t>
      </w:r>
      <w:r>
        <w:t xml:space="preserve">[9] Al Jazeera. (2026, June 8). France and Germany scrap fighter jet in hit to European defence cooperation. Al Jazeera. https://www.aljazeera.com/news/2026/6/8/france-and-germany-scrap-fighter-jet-in-hit-to-european-defence-cooperation</w:t>
      </w:r>
      <w:r>
        <w:t xml:space="preserve"> </w:t>
      </w:r>
      <w:r>
        <w:t xml:space="preserve">[10] Breaking Defense. (2026, June). Franco-German-Spanish FCAS fighter program dead, reports say. Breaking Defense. https://breakingdefense.com/2026/06/franco-german-spanish-fcas-fighter-program-dead-reports/</w:t>
      </w:r>
      <w:r>
        <w:t xml:space="preserve"> </w:t>
      </w:r>
      <w:r>
        <w:t xml:space="preserve">[11] Aerospace Global News. (2026). FCAS crisis as France and Germany step in to resolve OEM disputes. Aerospace Global News. https://aerospaceglobalnews.com/news/fcas-crisis-france-germany-airbus-dassault-dispute/</w:t>
      </w:r>
    </w:p>
    <w:p>
      <w:r>
        <w:pict>
          <v:rect style="width:0;height:1.5pt" o:hralign="center" o:hrstd="t" o:hr="t"/>
        </w:pict>
      </w:r>
    </w:p>
    <w:bookmarkEnd w:id="13"/>
    <w:bookmarkStart w:id="14" w:name="莱塔在欧盟可持续能源周警告欧洲若不团结将沦为美中殖民地"/>
    <w:p>
      <w:pPr>
        <w:pStyle w:val="Heading3"/>
      </w:pPr>
      <w:r>
        <w:rPr>
          <w:rFonts w:hint="eastAsia"/>
        </w:rPr>
        <w:t xml:space="preserve">莱塔在欧盟可持续能源周警告：欧洲若不团结将沦为美中“殖民地”</w:t>
      </w:r>
    </w:p>
    <w:p>
      <w:pPr>
        <w:pStyle w:val="FirstParagraph"/>
      </w:pPr>
      <w:r>
        <w:rPr>
          <w:rFonts w:hint="eastAsia"/>
        </w:rPr>
        <w:t xml:space="preserve">意大利前总理恩里科·莱塔（Enrico</w:t>
      </w:r>
      <w:r>
        <w:t xml:space="preserve"> </w:t>
      </w:r>
      <w:r>
        <w:rPr>
          <w:rFonts w:hint="eastAsia"/>
        </w:rPr>
        <w:t xml:space="preserve">Letta）6月9日在布鲁塞尔第二十届欧盟可持续能源周（EUSEW）独家对话Euronews时表示：“我们不想成为美国的殖民地，也不想成为中国的殖民地，我们要做欧洲人。”他将美国新政府试图收购格陵兰视为“对所有欧洲国家和领导人的一次重大警钟”，并称三个月来欧洲对统一必要性的认知正在“加速”。</w:t>
      </w:r>
    </w:p>
    <w:p>
      <w:pPr>
        <w:pStyle w:val="BodyText"/>
      </w:pPr>
      <w:r>
        <w:rPr>
          <w:rFonts w:hint="eastAsia"/>
        </w:rPr>
        <w:t xml:space="preserve">莱塔是2024年欧盟单一市场专题报告《远不止一个市场》（“Much</w:t>
      </w:r>
      <w:r>
        <w:t xml:space="preserve"> More Than a </w:t>
      </w:r>
      <w:r>
        <w:rPr>
          <w:rFonts w:hint="eastAsia"/>
        </w:rPr>
        <w:t xml:space="preserve">Market”）的执笔人，该报告基于在65个欧洲城市召开的400余场会议，建议在原有四项自由（货物、人员、服务、资本）之外引入“第五自由”——研究、创新与教育的自由流动，并提出整合资本市场为“储蓄与投资联盟”，以及创设作为“第28种企业法律体制”的欧洲商业法典。他周二在EUSEW上证实，欧盟委员会随后推出的“一个欧洲、一个市场”战略——涵盖42项欧盟层面改革，包括拟议的《产业加速法》（Industrial</w:t>
      </w:r>
      <w:r>
        <w:t xml:space="preserve"> Accelerator </w:t>
      </w:r>
      <w:r>
        <w:rPr>
          <w:rFonts w:hint="eastAsia"/>
        </w:rPr>
        <w:t xml:space="preserve">Act）和“EU</w:t>
      </w:r>
      <w:r>
        <w:t xml:space="preserve"> </w:t>
      </w:r>
      <w:r>
        <w:rPr>
          <w:rFonts w:hint="eastAsia"/>
        </w:rPr>
        <w:t xml:space="preserve">Inc.”第28号公司制度——直接采纳了他的核心建议。莱塔呼吁欧洲议会和理事会在2026年底前通过这两项立法支柱以维持改革势头。EUSEW</w:t>
      </w:r>
      <w:r>
        <w:t xml:space="preserve"> </w:t>
      </w:r>
      <w:r>
        <w:rPr>
          <w:rFonts w:hint="eastAsia"/>
        </w:rPr>
        <w:t xml:space="preserve">2026以“清洁、安全、有竞争力的能源联盟”为主题，于6月9日至11日在布鲁塞尔举行，是欧盟最具旗舰意义的年度能源活动。莱塔指出：“今天具备所有根本要素，使欧洲人意识到我们拥有一个变得更团结、更自主的机会。”</w:t>
      </w:r>
    </w:p>
    <w:p>
      <w:pPr>
        <w:pStyle w:val="BodyText"/>
      </w:pPr>
      <w:r>
        <w:rPr>
          <w:b/>
          <w:bCs/>
        </w:rPr>
        <w:t xml:space="preserve">References</w:t>
      </w:r>
    </w:p>
    <w:p>
      <w:pPr>
        <w:pStyle w:val="BodyText"/>
      </w:pPr>
      <w:r>
        <w:t xml:space="preserve">[12] Euronews. (2026, June 9). Letta: Europe must unite or risk becoming a colony of the US and China. Euronews. https://www.euronews.com/my-europe/2026/06/09/letta-europe-must-unite-or-risk-becoming-a-colony-of-the-us-and-china</w:t>
      </w:r>
      <w:r>
        <w:t xml:space="preserve"> </w:t>
      </w:r>
      <w:r>
        <w:t xml:space="preserve">[13] Letta, E. (2024, April). Much more than a market — Report by Enrico Letta. European Council. https://www.consilium.europa.eu/media/ny3j24sm/much-more-than-a-market-report-by-enrico-letta.pdf</w:t>
      </w:r>
      <w:r>
        <w:t xml:space="preserve"> </w:t>
      </w:r>
      <w:r>
        <w:t xml:space="preserve">[14] European Commission. (2024, April 10). Enrico Letta’s report on the future of the Single Market. European Commission. https://single-market-economy.ec.europa.eu/news/enrico-lettas-report-future-single-market-2024-04-10_en</w:t>
      </w:r>
    </w:p>
    <w:p>
      <w:r>
        <w:pict>
          <v:rect style="width:0;height:1.5pt" o:hralign="center" o:hrstd="t" o:hr="t"/>
        </w:pict>
      </w:r>
    </w:p>
    <w:bookmarkEnd w:id="14"/>
    <w:bookmarkStart w:id="15" w:name="国际刑事法院首席检察官卡里姆汗遭24年来首次停职性丑闻案重启程序"/>
    <w:p>
      <w:pPr>
        <w:pStyle w:val="Heading3"/>
      </w:pPr>
      <w:r>
        <w:rPr>
          <w:rFonts w:hint="eastAsia"/>
        </w:rPr>
        <w:t xml:space="preserve">国际刑事法院首席检察官卡里姆·汗遭24年来首次停职，性丑闻案重启程序</w:t>
      </w:r>
    </w:p>
    <w:p>
      <w:pPr>
        <w:pStyle w:val="FirstParagraph"/>
      </w:pPr>
      <w:r>
        <w:rPr>
          <w:rFonts w:hint="eastAsia"/>
        </w:rPr>
        <w:t xml:space="preserve">国际刑事法院（ICC）缔约国大会21人主席团6月9日以“合格多数”通过决议，对现年56岁的首席检察官卡里姆·汗（Karim</w:t>
      </w:r>
      <w:r>
        <w:t xml:space="preserve"> </w:t>
      </w:r>
      <w:r>
        <w:rPr>
          <w:rFonts w:hint="eastAsia"/>
        </w:rPr>
        <w:t xml:space="preserve">Khan）即刻停职，这是该法院24年历史上首次出现的措施。联合国内部监督厅（OIOS）调查发现，汗“曾在其办公室、私人住所以及外出公务期间与一名女性助理发生非自愿性接触”。整个丑闻持续逾两年，汗于2025年5月曾自行暂时退出部分案件审理，但始终否认任何不当行为；此前一个由三名法官组成的小组裁定OIOS调查“不足以”提出正式刑事指控，留下程序真空，缔约国主席团此次动作正是为了填补这一真空。</w:t>
      </w:r>
    </w:p>
    <w:p>
      <w:pPr>
        <w:pStyle w:val="BodyText"/>
      </w:pPr>
      <w:r>
        <w:rPr>
          <w:rFonts w:hint="eastAsia"/>
        </w:rPr>
        <w:t xml:space="preserve">卡里姆·汗为英国籍律师，自2021年担任ICC首席检察官，是他任内将俄罗斯总统普京（2023年）、以色列总理内塔尼亚胡及国防部长加兰特（2024年11月）列入国际逮捕令名单——后者使他成为美方制裁目标，2025年2月被列入美国财政部“特别指定国民”名单，本人及其家属被禁止入境美国。本次停职前，他已被从针对菲律宾前总统罗德里戈·杜特尔特的高调案件中撤换。停职决议本身也迫使大会现场制定新的程序规则——法院《罗马规约》原本未对首席检察官的中途停职设置任何先例。总部设于荷兰海牙的ICC现有124个成员国，目前正同时审理与俄罗斯、苏丹、委内瑞拉、巴勒斯坦等多个司法管辖区相关的重要案件，检察官职位的不确定性将直接影响这些进行中的高政治敏感程序的推进节奏。</w:t>
      </w:r>
    </w:p>
    <w:p>
      <w:pPr>
        <w:pStyle w:val="BodyText"/>
      </w:pPr>
      <w:r>
        <w:rPr>
          <w:b/>
          <w:bCs/>
        </w:rPr>
        <w:t xml:space="preserve">References</w:t>
      </w:r>
    </w:p>
    <w:p>
      <w:pPr>
        <w:pStyle w:val="BodyText"/>
      </w:pPr>
      <w:r>
        <w:t xml:space="preserve">[15] Euronews. (2026, June 9). ICC chief prosecutor suspended pending proceedings on sexual misconduct allegations. Euronews. https://www.euronews.com/my-europe/2026/06/09/icc-chief-prosecutor-suspended-pending-proceedings-on-sexual-misconduct-allegations</w:t>
      </w:r>
      <w:r>
        <w:t xml:space="preserve"> </w:t>
      </w:r>
      <w:r>
        <w:t xml:space="preserve">[16] CBS News. (2026, June 9). International Criminal Court chief prosecutor Karim Khan suspended over sexual misconduct allegations. CBS News. https://www.cbsnews.com/news/international-criminal-court-karim-khan-chief-prosecutor-suspended-sexual-misconduct-allegations/</w:t>
      </w:r>
      <w:r>
        <w:t xml:space="preserve"> </w:t>
      </w:r>
      <w:r>
        <w:t xml:space="preserve">[17] Wikipedia contributors. (2026). Karim Ahmad Khan. Wikipedia. https://en.wikipedia.org/wiki/Karim_Ahmad_Khan</w:t>
      </w:r>
    </w:p>
    <w:p>
      <w:r>
        <w:pict>
          <v:rect style="width:0;height:1.5pt" o:hralign="center" o:hrstd="t" o:hr="t"/>
        </w:pict>
      </w:r>
    </w:p>
    <w:bookmarkEnd w:id="15"/>
    <w:bookmarkEnd w:id="16"/>
    <w:bookmarkStart w:id="20" w:name="三科技与产业"/>
    <w:p>
      <w:pPr>
        <w:pStyle w:val="Heading2"/>
      </w:pPr>
      <w:r>
        <w:rPr>
          <w:rFonts w:hint="eastAsia"/>
        </w:rPr>
        <w:t xml:space="preserve">三、科技与产业</w:t>
      </w:r>
    </w:p>
    <w:bookmarkStart w:id="17" w:name="欧盟电信理事会就欧洲商业钱包达成共同立场数字网络法进入实质磋商"/>
    <w:p>
      <w:pPr>
        <w:pStyle w:val="Heading3"/>
      </w:pPr>
      <w:r>
        <w:rPr>
          <w:rFonts w:hint="eastAsia"/>
        </w:rPr>
        <w:t xml:space="preserve">欧盟电信理事会就“欧洲商业钱包”达成共同立场，《数字网络法》进入实质磋商</w:t>
      </w:r>
    </w:p>
    <w:p>
      <w:pPr>
        <w:pStyle w:val="FirstParagraph"/>
      </w:pPr>
      <w:r>
        <w:rPr>
          <w:rFonts w:hint="eastAsia"/>
        </w:rPr>
        <w:t xml:space="preserve">欧盟运输、电信与能源理事会（电信部分）6月9日在布鲁塞尔召开，电信部长就拟议的《欧洲商业钱包条例》（Regulation</w:t>
      </w:r>
      <w:r>
        <w:t xml:space="preserve"> on the establishment of European Business </w:t>
      </w:r>
      <w:r>
        <w:rPr>
          <w:rFonts w:hint="eastAsia"/>
        </w:rPr>
        <w:t xml:space="preserve">Wallets）达成“共同立场”——理事会正式立法立场，允许欧盟与欧洲议会启动机构间谈判。该条例旨在建立统一的数字框架，使欧盟企业和公共机构能够跨境安全识别身份、认证并交换数据，且赋予与亲笔签名、纸质文件或其他数字方式等同的法律效力，核心功能包括电子签署与盖章、安全身份识别和合格电子挂号送达，整体架构构建于2024年4月生效的eIDAS</w:t>
      </w:r>
      <w:r>
        <w:t xml:space="preserve"> </w:t>
      </w:r>
      <w:r>
        <w:rPr>
          <w:rFonts w:hint="eastAsia"/>
        </w:rPr>
        <w:t xml:space="preserve">2.0法律框架之上。</w:t>
      </w:r>
    </w:p>
    <w:p>
      <w:pPr>
        <w:pStyle w:val="BodyText"/>
      </w:pPr>
      <w:r>
        <w:t xml:space="preserve">eIDAS </w:t>
      </w:r>
      <w:r>
        <w:rPr>
          <w:rFonts w:hint="eastAsia"/>
        </w:rPr>
        <w:t xml:space="preserve">2.0要求每个欧盟成员国必须在2026年底前向公民、居民和企业提供至少一款“欧盟数字身份钱包”，并要求银行、信贷机构、电子货币机构和支付服务提供商等受监管行业从2027年12月起接受该钱包作为身份验证手段——商业钱包条例则将这一逻辑推广至B2B和企业对政府场景。部长们同日还听取了主席国关于《数字网络法》（Digital</w:t>
      </w:r>
      <w:r>
        <w:t xml:space="preserve"> Networks Act, </w:t>
      </w:r>
      <w:r>
        <w:rPr>
          <w:rFonts w:hint="eastAsia"/>
        </w:rPr>
        <w:t xml:space="preserve">DNA）的进度报告：DNA是欧盟委员会2026年1月提出的立法提案，将现行四部电信法律合并为单一可直接适用的条例，引入“单一通行证”授权机制（运营商只需向一个成员国通报即可在全欧运营），强制要求各国2035年前完成铜缆向光纤的转换，并设立欧盟层面的卫星频谱集中授权机制。理事会本次会议同时讨论了欧洲公共行政的技术主权、以及与国际电信联盟（ITU）的合作深化议题。</w:t>
      </w:r>
    </w:p>
    <w:p>
      <w:pPr>
        <w:pStyle w:val="BodyText"/>
      </w:pPr>
      <w:r>
        <w:rPr>
          <w:b/>
          <w:bCs/>
        </w:rPr>
        <w:t xml:space="preserve">References</w:t>
      </w:r>
    </w:p>
    <w:p>
      <w:pPr>
        <w:pStyle w:val="BodyText"/>
      </w:pPr>
      <w:r>
        <w:t xml:space="preserve">[18] Council of the EU. (2026, June 9). Transport, Telecommunications and Energy Council (Telecommunications) — 9 June 2026. Council of the EU. https://www.consilium.europa.eu/en/meetings/tte/2026/06/09/</w:t>
      </w:r>
      <w:r>
        <w:t xml:space="preserve"> </w:t>
      </w:r>
      <w:r>
        <w:t xml:space="preserve">[19] Council of the EU. (2026, June 5). Forward Look 2026. Council of the EU. https://www.consilium.europa.eu/en/press/press-releases/2026/06/05/forward-look-2026/</w:t>
      </w:r>
      <w:r>
        <w:t xml:space="preserve"> </w:t>
      </w:r>
      <w:r>
        <w:t xml:space="preserve">[20] IEU Monitoring. (2026, June). Agenda of the EU Telecommunications Council on 9 June 2026. IEU Monitoring. https://ieu-monitoring.com/editorial/agenda-of-the-eu-telecommunications-council-on-9-june-2026</w:t>
      </w:r>
      <w:r>
        <w:t xml:space="preserve"> </w:t>
      </w:r>
      <w:r>
        <w:t xml:space="preserve">[21] Arthur Cox. (2026). The EU Digital Identity Wallet: What companies need to know. Arthur Cox. https://www.arthurcox.com/knowledge/the-eu-digital-identity-wallet-what-companies-need-to-know/</w:t>
      </w:r>
    </w:p>
    <w:p>
      <w:r>
        <w:pict>
          <v:rect style="width:0;height:1.5pt" o:hralign="center" o:hrstd="t" o:hr="t"/>
        </w:pict>
      </w:r>
    </w:p>
    <w:bookmarkEnd w:id="17"/>
    <w:bookmarkStart w:id="18" w:name="西门子董事长出任欧盟首位产业ai特使41名议员质疑利益冲突"/>
    <w:p>
      <w:pPr>
        <w:pStyle w:val="Heading3"/>
      </w:pPr>
      <w:r>
        <w:rPr>
          <w:rFonts w:hint="eastAsia"/>
        </w:rPr>
        <w:t xml:space="preserve">西门子董事长出任欧盟首位产业AI特使，41名议员质疑利益冲突</w:t>
      </w:r>
    </w:p>
    <w:p>
      <w:pPr>
        <w:pStyle w:val="FirstParagraph"/>
      </w:pPr>
      <w:r>
        <w:rPr>
          <w:rFonts w:hint="eastAsia"/>
        </w:rPr>
        <w:t xml:space="preserve">欧盟委员会主席冯德莱恩6月9日任命西门子监事会主席Jim</w:t>
      </w:r>
      <w:r>
        <w:t xml:space="preserve"> Hagemann </w:t>
      </w:r>
      <w:r>
        <w:rPr>
          <w:rFonts w:hint="eastAsia"/>
        </w:rPr>
        <w:t xml:space="preserve">Snabe为欧盟首位“产业人工智能特别特使”，无薪职位将持续至2027年3月31日，负责就在欧洲工业中加速AI部署事宜向冯德莱恩及科技主权委员Henna</w:t>
      </w:r>
      <w:r>
        <w:t xml:space="preserve"> </w:t>
      </w:r>
      <w:r>
        <w:rPr>
          <w:rFonts w:hint="eastAsia"/>
        </w:rPr>
        <w:t xml:space="preserve">Virkkunen提供建议。任命甫一公布，由MEP</w:t>
      </w:r>
      <w:r>
        <w:t xml:space="preserve"> Brando </w:t>
      </w:r>
      <w:r>
        <w:rPr>
          <w:rFonts w:hint="eastAsia"/>
        </w:rPr>
        <w:t xml:space="preserve">Benifei领衔的41名中左翼议员即联署去函委员会，要求说明“将采取何种保障、回避与透明义务，防止单一产业行为者在欧盟AI政策中获得特权访问与不当影响？”</w:t>
      </w:r>
    </w:p>
    <w:p>
      <w:pPr>
        <w:pStyle w:val="BodyText"/>
      </w:pPr>
      <w:r>
        <w:rPr>
          <w:rFonts w:hint="eastAsia"/>
        </w:rPr>
        <w:t xml:space="preserve">争议焦点在于时间节点：西门子是为推动《人工智能法》（AI</w:t>
      </w:r>
      <w:r>
        <w:t xml:space="preserve"> </w:t>
      </w:r>
      <w:r>
        <w:rPr>
          <w:rFonts w:hint="eastAsia"/>
        </w:rPr>
        <w:t xml:space="preserve">Act）部分条款延期与豁免投入最多游说资源的企业之一。2026年5月7日，欧盟理事会和议会通过“数字综合包”（Digital</w:t>
      </w:r>
      <w:r>
        <w:t xml:space="preserve"> </w:t>
      </w:r>
      <w:r>
        <w:rPr>
          <w:rFonts w:hint="eastAsia"/>
        </w:rPr>
        <w:t xml:space="preserve">Omnibus）达成临时协议，将高风险AI系统的合规义务从原定2026年8月推迟至2027年12月，并引入“产业AI豁免”——将受独立机械法规约束的车间级AI从《人工智能法》范围中剥离，这正是西门子、博世等德国制造业巨头持续争取的结果，德国政府亦在理事会层面公开支持该豁免以避免“双重监管负担”。为缓解利益冲突质疑，Snabe同意在任期内暂停其在Google</w:t>
      </w:r>
      <w:r>
        <w:t xml:space="preserve"> </w:t>
      </w:r>
      <w:r>
        <w:rPr>
          <w:rFonts w:hint="eastAsia"/>
        </w:rPr>
        <w:t xml:space="preserve">Cloud和C3.ai的咨询委员会职务。委员会发言人Thomas</w:t>
      </w:r>
      <w:r>
        <w:t xml:space="preserve"> </w:t>
      </w:r>
      <w:r>
        <w:rPr>
          <w:rFonts w:hint="eastAsia"/>
        </w:rPr>
        <w:t xml:space="preserve">Regnier解释：“委员会完全支持《人工智能法》。任命的这位特别顾问是为了另一个角色。”换言之，他被定位为产业部署而非监管执行的顾问。冯德莱恩2024年曾因类似争议撤回过一项高层任命。</w:t>
      </w:r>
    </w:p>
    <w:p>
      <w:pPr>
        <w:pStyle w:val="BodyText"/>
      </w:pPr>
      <w:r>
        <w:rPr>
          <w:b/>
          <w:bCs/>
        </w:rPr>
        <w:t xml:space="preserve">References</w:t>
      </w:r>
    </w:p>
    <w:p>
      <w:pPr>
        <w:pStyle w:val="BodyText"/>
      </w:pPr>
      <w:r>
        <w:t xml:space="preserve">[22] Euronews. (2026, June 9). Von der Leyen’s AI envoy pick draws conflict-of-interest questions. Euronews. https://www.euronews.com/my-europe/2026/06/09/von-der-leyens-ai-envoy-pick-draws-conflict-of-interest-questions</w:t>
      </w:r>
      <w:r>
        <w:t xml:space="preserve"> </w:t>
      </w:r>
      <w:r>
        <w:t xml:space="preserve">[23] The Next Web. (2026, June 9). Von der Leyen’s AI envoy pick triggers conflict-of-interest backlash. The Next Web. https://thenextweb.com/news/von-der-leyens-ai-envoy-pick-triggers-conflict-of-interest-backlash-weeks-after-siemens-helped-gut-the-ai-act</w:t>
      </w:r>
      <w:r>
        <w:t xml:space="preserve"> </w:t>
      </w:r>
      <w:r>
        <w:t xml:space="preserve">[24] E&amp;E News by Politico. (2026, June 9). Von der Leyen’s AI pick triggers conflict-of-interest criticism. E&amp;E News. https://www.eenews.net/articles/von-der-leyens-ai-pick-triggers-conflict-of-interest-criticism/</w:t>
      </w:r>
      <w:r>
        <w:t xml:space="preserve"> </w:t>
      </w:r>
      <w:r>
        <w:t xml:space="preserve">[25] Council of the EU. (2026, May 7). Artificial intelligence: Council and Parliament agree to simplify and streamline rules. Council of the EU. https://www.consilium.europa.eu/en/press/press-releases/2026/05/07/artificial-intelligence-council-and-parliament-agree-to-simplify-and-streamline-rules/</w:t>
      </w:r>
    </w:p>
    <w:p>
      <w:r>
        <w:pict>
          <v:rect style="width:0;height:1.5pt" o:hralign="center" o:hrstd="t" o:hr="t"/>
        </w:pict>
      </w:r>
    </w:p>
    <w:bookmarkEnd w:id="18"/>
    <w:bookmarkStart w:id="19" w:name="fortinet揭欧洲球迷遭1.3万个世界杯仿冒域名围猎加美官方紧急预警"/>
    <w:p>
      <w:pPr>
        <w:pStyle w:val="Heading3"/>
      </w:pPr>
      <w:r>
        <w:rPr>
          <w:rFonts w:hint="eastAsia"/>
        </w:rPr>
        <w:t xml:space="preserve">Fortinet揭欧洲球迷遭1.3万个世界杯仿冒域名围猎，加美官方紧急预警</w:t>
      </w:r>
    </w:p>
    <w:p>
      <w:pPr>
        <w:pStyle w:val="FirstParagraph"/>
      </w:pPr>
      <w:r>
        <w:rPr>
          <w:rFonts w:hint="eastAsia"/>
        </w:rPr>
        <w:t xml:space="preserve">Fortinet安全研究人员发现，2026年1月至5月间共有逾13,000个与2026年FIFA世界杯相关的域名遭注册，其中约8%被判定为恶意域名，专门用于通过虚假售票页面窃取支付卡信息。同期网络犯罪团伙还在Facebook和Instagram上炮制了1,700个假冒账号——其中近90%集中在这两大平台——并通过LinkedIn虚假招聘启事将钓鱼链接伪装为日历邀请，定向投放给可能在赛事现场担任工作人员的求职者。在赛前数分钟，Facebook、X和Telegram上还会涌现仿冒的“直播链接”，诱导用户匆忙注册或下载嵌入恶意软件的媒体播放器。</w:t>
      </w:r>
    </w:p>
    <w:p>
      <w:pPr>
        <w:pStyle w:val="BodyText"/>
      </w:pPr>
      <w:r>
        <w:t xml:space="preserve">FortiGuard </w:t>
      </w:r>
      <w:r>
        <w:rPr>
          <w:rFonts w:hint="eastAsia"/>
        </w:rPr>
        <w:t xml:space="preserve">Labs进一步报告，在13,000多个新注册的FIFA相关域名中已识别出约1,145个高风险站点，并在凭据窃取恶意软件（如Vidar、LummaC2、RedLine）收集的数据中发现数十万条与FIFA相关的用户凭据和逾4,600条URL线索。加拿大与美国网络安全主管部门均已发布正式公告，提醒6月11日开赛前的球迷与线上观众警惕诈骗手法，建议输入支付信息前核对域名、优先使用信用卡而非借记卡、仅通过FIFA官方接待合作伙伴预订，以及赛前更新设备系统。本届世界杯将于6月11日至7月19日在北美16座城市进行，包括西班牙、法国、英格兰、德国、葡萄牙、荷兰在内的16支欧洲球队入围决赛圈，欧洲球迷既是规模最大的海外观赛群体，也是高需求与“无现场购票渠道”两难下最容易被锁定的诈骗对象。</w:t>
      </w:r>
    </w:p>
    <w:p>
      <w:pPr>
        <w:pStyle w:val="BodyText"/>
      </w:pPr>
      <w:r>
        <w:rPr>
          <w:b/>
          <w:bCs/>
        </w:rPr>
        <w:t xml:space="preserve">References</w:t>
      </w:r>
    </w:p>
    <w:p>
      <w:pPr>
        <w:pStyle w:val="BodyText"/>
      </w:pPr>
      <w:r>
        <w:t xml:space="preserve">[26] Euronews Next. (2026, June 9). How cyber criminals are taking advantage of the FIFA World Cup. Euronews. https://www.euronews.com/next/2026/06/09/how-cyber-criminals-are-taking-advantage-of-the-fifa-world-cup</w:t>
      </w:r>
      <w:r>
        <w:t xml:space="preserve"> </w:t>
      </w:r>
      <w:r>
        <w:t xml:space="preserve">[27] FortiGuard Labs. (2026). Cybercriminals Are Targeting the FIFA World Cup 2026. Fortinet. https://www.fortinet.com/blog/threat-research/cybercriminals-are-targeting-the-fifa-world-cup-2026</w:t>
      </w:r>
      <w:r>
        <w:t xml:space="preserve"> </w:t>
      </w:r>
      <w:r>
        <w:t xml:space="preserve">[28] The Hacker News. (2026, June). FIFA World Cup 2026 Scams Are Already Live: Fake Sites, Banking Malware, and Stolen Logins. The Hacker News. https://thehackernews.com/2026/06/fifa-world-cup-2026-scams-are-already.html</w:t>
      </w:r>
    </w:p>
    <w:p>
      <w:r>
        <w:pict>
          <v:rect style="width:0;height:1.5pt" o:hralign="center" o:hrstd="t" o:hr="t"/>
        </w:pict>
      </w:r>
    </w:p>
    <w:bookmarkEnd w:id="19"/>
    <w:bookmarkEnd w:id="20"/>
    <w:bookmarkStart w:id="24" w:name="四社会与民生"/>
    <w:p>
      <w:pPr>
        <w:pStyle w:val="Heading2"/>
      </w:pPr>
      <w:r>
        <w:rPr>
          <w:rFonts w:hint="eastAsia"/>
        </w:rPr>
        <w:t xml:space="preserve">四、社会与民生</w:t>
      </w:r>
    </w:p>
    <w:bookmarkStart w:id="21" w:name="欧盟移民与庇护新协定6月12日全面生效仅四分之一被拒移民被遣返"/>
    <w:p>
      <w:pPr>
        <w:pStyle w:val="Heading3"/>
      </w:pPr>
      <w:r>
        <w:rPr>
          <w:rFonts w:hint="eastAsia"/>
        </w:rPr>
        <w:t xml:space="preserve">欧盟移民与庇护新协定6月12日全面生效，仅四分之一被拒移民被遣返</w:t>
      </w:r>
    </w:p>
    <w:p>
      <w:pPr>
        <w:pStyle w:val="FirstParagraph"/>
      </w:pPr>
      <w:r>
        <w:rPr>
          <w:rFonts w:hint="eastAsia"/>
        </w:rPr>
        <w:t xml:space="preserve">欧盟《移民与庇护新协定》将于6月12日全面发生法律效力，但实施鸿沟巨大。Euronews</w:t>
      </w:r>
      <w:r>
        <w:t xml:space="preserve"> </w:t>
      </w:r>
      <w:r>
        <w:rPr>
          <w:rFonts w:hint="eastAsia"/>
        </w:rPr>
        <w:t xml:space="preserve">6月9日指出，2025年欧盟首次庇护申请超过669,400件，目前被拒移民仅约28%至29%被遣返，意味着每四名被拒者中约有三人继续留在欧盟境内。共同立法者已于6月1日就欧盟境外“遣返中心”达成一致，为协定全面实施铺路。</w:t>
      </w:r>
    </w:p>
    <w:p>
      <w:pPr>
        <w:pStyle w:val="BodyText"/>
      </w:pPr>
      <w:r>
        <w:rPr>
          <w:rFonts w:hint="eastAsia"/>
        </w:rPr>
        <w:t xml:space="preserve">欧盟委员会一份5月8日的进度报告指出，德国、意大利、希腊、西班牙和塞浦路斯五国实施严重滞后；捷克、塞浦路斯、德国、爱尔兰和斯洛伐克五国已基本完成所需国内立法转化，另有11国法案正在议会审议。协定的强制性“团结机制”要求全部27个成员国要么实际接收庇护申请者、要么以资金和人员形式作出贡献。非法入境者将在7天内完成身份、健康与安全核查，并将生物特征数据存入Eurodac中央数据库——Eurodac被点名为最迫切待解的技术瓶颈，整个责任分担机制、团结机制和边境程序都仰赖其运转。委员会将在2026年7月和10月分别评估成员国合规情况。欧盟庇护署（EUAA）评估指出：“九项直接适用于国家法律的条例代表了监管趋同的重要一步。”该协定的政治推进可追溯至2020年9月委员会首次提案，议会2024年4月10日以微弱差距通过、理事会同年5月14日表决通过（匈牙利和波兰反对），相关规则于2024年6月11日生效，进入两年实施过渡期。委员Magnus</w:t>
      </w:r>
      <w:r>
        <w:t xml:space="preserve"> </w:t>
      </w:r>
      <w:r>
        <w:rPr>
          <w:rFonts w:hint="eastAsia"/>
        </w:rPr>
        <w:t xml:space="preserve">Brunner在协定生效前强调：“协议表明我们正在让欧洲家园回到秩序之中。”</w:t>
      </w:r>
    </w:p>
    <w:p>
      <w:pPr>
        <w:pStyle w:val="BodyText"/>
      </w:pPr>
      <w:r>
        <w:rPr>
          <w:b/>
          <w:bCs/>
        </w:rPr>
        <w:t xml:space="preserve">References</w:t>
      </w:r>
    </w:p>
    <w:p>
      <w:pPr>
        <w:pStyle w:val="BodyText"/>
      </w:pPr>
      <w:r>
        <w:t xml:space="preserve">[29] Euronews. (2026, June 9). Can the new Pact meet the EU’s ambition to reduce illegal migration? Euronews. https://www.euronews.com/my-europe/2026/06/09/can-the-new-pact-meet-the-eus-ambition-to-reduce-illegal-migration</w:t>
      </w:r>
      <w:r>
        <w:t xml:space="preserve"> </w:t>
      </w:r>
      <w:r>
        <w:t xml:space="preserve">[30] Council of the EU. (2024, May 14). The Council adopts the EU’s pact on migration and asylum. Council of the EU. https://www.consilium.europa.eu/en/press/press-releases/2024/05/14/the-council-adopts-the-eu-s-pact-on-migration-and-asylum/</w:t>
      </w:r>
      <w:r>
        <w:t xml:space="preserve"> </w:t>
      </w:r>
      <w:r>
        <w:t xml:space="preserve">[31] European Commission. (2024, June 12). Common Implementation Plan to turn the Pact on Migration and Asylum into a reality. European Commission. https://home-affairs.ec.europa.eu/news/common-implementation-plan-turn-pact-migration-and-asylum-reality-2024-06-12_en</w:t>
      </w:r>
    </w:p>
    <w:p>
      <w:r>
        <w:pict>
          <v:rect style="width:0;height:1.5pt" o:hralign="center" o:hrstd="t" o:hr="t"/>
        </w:pict>
      </w:r>
    </w:p>
    <w:bookmarkEnd w:id="21"/>
    <w:bookmarkStart w:id="22" w:name="法国sncf四大工会2024年后首次联手罢工tgv运能减三分之一"/>
    <w:p>
      <w:pPr>
        <w:pStyle w:val="Heading3"/>
      </w:pPr>
      <w:r>
        <w:rPr>
          <w:rFonts w:hint="eastAsia"/>
        </w:rPr>
        <w:t xml:space="preserve">法国SNCF四大工会2024年后首次联手罢工，TGV运能减三分之一</w:t>
      </w:r>
    </w:p>
    <w:p>
      <w:pPr>
        <w:pStyle w:val="FirstParagraph"/>
      </w:pPr>
      <w:r>
        <w:rPr>
          <w:rFonts w:hint="eastAsia"/>
        </w:rPr>
        <w:t xml:space="preserve">法国国家铁路公司（SNCF）的全国性罢工于6月9日周二19时启动，将持续至6月11日周四凌晨6时。这是自2024年末以来CGT-Cheminots、Unsa-Ferroviaire、Sud-Rail和CFDT-Cheminots四大铁路工会首次联合发起24小时罢工通知，也是2026年的第二次全国铁路罢工。约三分之一的TGV高铁班次将被取消，涵盖InOui和Ouigo两个品牌；通往瑞士的国际TGV线路面临同等水平的停运，部分前往科隆和布鲁塞尔的“欧洲之星”班次也受影响，但伦敦方向截至发稿仍未受波及；Intercités普速列车将以约50%运力运行，多地TER区域列车遭遇严重打乱。SNCF已于6月9日17时通过SNCF</w:t>
      </w:r>
      <w:r>
        <w:t xml:space="preserve"> </w:t>
      </w:r>
      <w:r>
        <w:rPr>
          <w:rFonts w:hint="eastAsia"/>
        </w:rPr>
        <w:t xml:space="preserve">Connect发布修订时刻表。</w:t>
      </w:r>
    </w:p>
    <w:p>
      <w:pPr>
        <w:pStyle w:val="BodyText"/>
      </w:pPr>
      <w:r>
        <w:rPr>
          <w:rFonts w:hint="eastAsia"/>
        </w:rPr>
        <w:t xml:space="preserve">工会方面将此次罢工定性为“面对组织重组持续引发的悲剧的紧急状态”，并明确表态：“我们拒绝接受这些转型”，要求开启“真正的薪资谈判”。其依据是2025年工伤事故同比上升20%、自2026年初以来已有13名员工自杀的严峻数据；SNCF</w:t>
      </w:r>
      <w:r>
        <w:t xml:space="preserve"> </w:t>
      </w:r>
      <w:r>
        <w:rPr>
          <w:rFonts w:hint="eastAsia"/>
        </w:rPr>
        <w:t xml:space="preserve">2025年录得18亿欧元净利润，并向铁路工人保证发放1,450欧元固定奖金，但工人认为工资涨幅远未跟上通胀。这场罢工延续了2024年12月的诉求线索：当时罢工核心议题是SNCF货运业务被拆分、TER区域服务被开放给私营运营商；货运拆分自2025年1月起执行，原4,500名员工现行权利保留三年，TER员工权利保留两年，但CGT和Sud-Rail对补偿方案始终不满。此次四大工会联手意味着此前长期立场分歧的CFDT-Cheminots和Unsa-Ferroviaire也站到了同一阵线，工会与SNCF管理层的对峙烈度因此显著升级。</w:t>
      </w:r>
    </w:p>
    <w:p>
      <w:pPr>
        <w:pStyle w:val="BodyText"/>
      </w:pPr>
      <w:r>
        <w:rPr>
          <w:b/>
          <w:bCs/>
        </w:rPr>
        <w:t xml:space="preserve">References</w:t>
      </w:r>
    </w:p>
    <w:p>
      <w:pPr>
        <w:pStyle w:val="BodyText"/>
      </w:pPr>
      <w:r>
        <w:t xml:space="preserve">[32] Connexion France. (2026, June 9). Major train disruption expected on June 10 due to French rail strike. Connexion France. https://www.connexionfrance.com/news/major-train-disruption-expected-on-june-10-due-to-french-rail-strike/795160</w:t>
      </w:r>
      <w:r>
        <w:t xml:space="preserve"> </w:t>
      </w:r>
      <w:r>
        <w:t xml:space="preserve">[33] Sortiraparis. (2026, June 8). SNCF strike on June 10, 2026: what disruptions and train cancellations to expect in Paris and Île-de-France. Sortiraparis. https://www.sortiraparis.com/en/news/in-paris/articles/346757-sncf-strike-on-june-10-2026-what-disruptions-and-train-cancellations-to-expect-in-paris-and-ile-de-france</w:t>
      </w:r>
      <w:r>
        <w:t xml:space="preserve"> </w:t>
      </w:r>
      <w:r>
        <w:t xml:space="preserve">[34] Connexion France. (2024). Upcoming Railway Strike in France: Impact on SNCF Freight Operations and Privatisation. Connexion France. https://www.connexionfrance.com/news/french-rail-strike-call-wide-scale-disruption-expected-later-this-month/687791</w:t>
      </w:r>
    </w:p>
    <w:p>
      <w:r>
        <w:pict>
          <v:rect style="width:0;height:1.5pt" o:hralign="center" o:hrstd="t" o:hr="t"/>
        </w:pict>
      </w:r>
    </w:p>
    <w:bookmarkEnd w:id="22"/>
    <w:bookmarkStart w:id="23" w:name="瑞士企业与工会联合反对6月14日人口设限至千万公投"/>
    <w:p>
      <w:pPr>
        <w:pStyle w:val="Heading3"/>
      </w:pPr>
      <w:r>
        <w:rPr>
          <w:rFonts w:hint="eastAsia"/>
        </w:rPr>
        <w:t xml:space="preserve">瑞士企业与工会联合反对6月14日“人口设限至千万”公投</w:t>
      </w:r>
    </w:p>
    <w:p>
      <w:pPr>
        <w:pStyle w:val="FirstParagraph"/>
      </w:pPr>
      <w:r>
        <w:rPr>
          <w:rFonts w:hint="eastAsia"/>
        </w:rPr>
        <w:t xml:space="preserve">瑞士选民将于6月14日周日就瑞士人民党（SVP）发起的“人口可持续倡议”投票，该提案要求到2050年将瑞士常住人口上限设定为1000万——相对当前的910万人，意味着需大幅压缩年度净移民。Euronews</w:t>
      </w:r>
      <w:r>
        <w:t xml:space="preserve"> </w:t>
      </w:r>
      <w:r>
        <w:rPr>
          <w:rFonts w:hint="eastAsia"/>
        </w:rPr>
        <w:t xml:space="preserve">6月9日报道，大型雇主和工会在此次公投前结成罕见的联合阵线，将该提案定性为“混乱倡议”，呼吁选民予以否决。</w:t>
      </w:r>
    </w:p>
    <w:p>
      <w:pPr>
        <w:pStyle w:val="BodyText"/>
      </w:pPr>
      <w:r>
        <w:rPr>
          <w:rFonts w:hint="eastAsia"/>
        </w:rPr>
        <w:t xml:space="preserve">瑞士酒店业逾50%的从业者为外籍劳工，医疗技术、精密制造及服务业企业警告国内不存在能填补专业岗位的培训供应链，例如Steiger（纺织机械制造商）等公司对欧盟员工的依赖度极高。瑞士每年向欧盟出口规模达1470亿瑞郎，提案若通过将危及瑞士与欧盟的人员自由流动协定，并波及一揽子双边协议；若触及1000万红线，瑞士将被迫退出与欧盟的人员自由流动协定，除非布鲁塞尔同意比照设限。一旦协议被废，《双边协议I》项下其他协议亦将整体失效，瑞士对《申根协定》和《都柏林公约》的参与同样将受到冲击。这一前景出现在瑞士与欧盟正就《瑞士-欧盟双边III》谈判进行更新的关键时点，给银行、服务业和科研合作带来重大法律不确定性。公投前民调显示选情胶着，但企业界和工会的少见联手反映出限制移民将立刻冲击瑞士经济血脉的共识。</w:t>
      </w:r>
    </w:p>
    <w:p>
      <w:pPr>
        <w:pStyle w:val="BodyText"/>
      </w:pPr>
      <w:r>
        <w:rPr>
          <w:b/>
          <w:bCs/>
        </w:rPr>
        <w:t xml:space="preserve">References</w:t>
      </w:r>
    </w:p>
    <w:p>
      <w:pPr>
        <w:pStyle w:val="BodyText"/>
      </w:pPr>
      <w:r>
        <w:t xml:space="preserve">[35] Euronews. (2026, June 9). Businesses and unions unite against Swiss immigration cap ahead of Sunday referendum. Euronews. https://www.euronews.com/my-europe/2026/06/09/businesses-and-unions-unite-against-swiss-immigration-cap-ahead-of-sunday-referendum</w:t>
      </w:r>
      <w:r>
        <w:t xml:space="preserve"> </w:t>
      </w:r>
      <w:r>
        <w:t xml:space="preserve">[36] Time. (2026, April 30). What to Know About Switzerland’s Proposal to Cap Its Population. Time. https://time.com/article/2026/04/30/switzerland-population-cap-immigration-referendum-european-union/</w:t>
      </w:r>
      <w:r>
        <w:t xml:space="preserve"> </w:t>
      </w:r>
      <w:r>
        <w:t xml:space="preserve">[37] Swiss Federal Government. (2026). Popular initiative: No to a Switzerland with 10 million! (Sustainability Initiative). Swiss Confederation. https://www.admin.ch/en/sustainability-initiative</w:t>
      </w:r>
    </w:p>
    <w:p>
      <w:r>
        <w:pict>
          <v:rect style="width:0;height:1.5pt" o:hralign="center" o:hrstd="t" o:hr="t"/>
        </w:pict>
      </w:r>
    </w:p>
    <w:bookmarkEnd w:id="23"/>
    <w:bookmarkEnd w:id="24"/>
    <w:bookmarkStart w:id="28" w:name="五企业ipo与并购"/>
    <w:p>
      <w:pPr>
        <w:pStyle w:val="Heading2"/>
      </w:pPr>
      <w:r>
        <w:rPr>
          <w:rFonts w:hint="eastAsia"/>
        </w:rPr>
        <w:t xml:space="preserve">五、企业IPO与并购</w:t>
      </w:r>
    </w:p>
    <w:bookmarkStart w:id="25" w:name="Xe3955262cc836bc9b5a029867eafb469c6679e2"/>
    <w:p>
      <w:pPr>
        <w:pStyle w:val="Heading3"/>
      </w:pPr>
      <w:r>
        <w:rPr>
          <w:rFonts w:hint="eastAsia"/>
        </w:rPr>
        <w:t xml:space="preserve">SpaceX以每股135美元、估值1.75万亿美元启动IPO，向七个欧盟国家及英国零售开放</w:t>
      </w:r>
    </w:p>
    <w:p>
      <w:pPr>
        <w:pStyle w:val="FirstParagraph"/>
      </w:pPr>
      <w:r>
        <w:rPr>
          <w:rFonts w:hint="eastAsia"/>
        </w:rPr>
        <w:t xml:space="preserve">SpaceX首次公开发行定价每股135美元，目标6月12日以代码SPCX在纳斯达克挂牌，对应估值约1.75万亿美元（1.5万亿欧元），募集规模达750亿美元。此次发行的最大特点是为零售投资者保留最多30%的份额——是常规大型IPO中5%至10%的机构主导配置比例的至少三倍。德国、法国、荷兰、丹麦、挪威、西班牙、瑞典以及英国的零售投资者可通过Revolut、Hargreaves</w:t>
      </w:r>
      <w:r>
        <w:t xml:space="preserve"> </w:t>
      </w:r>
      <w:r>
        <w:rPr>
          <w:rFonts w:hint="eastAsia"/>
        </w:rPr>
        <w:t xml:space="preserve">Lansdown和eToro等券商参与，最低投资门槛介于750美元至1,000英镑之间。Hargreaves</w:t>
      </w:r>
      <w:r>
        <w:t xml:space="preserve"> </w:t>
      </w:r>
      <w:r>
        <w:rPr>
          <w:rFonts w:hint="eastAsia"/>
        </w:rPr>
        <w:t xml:space="preserve">Lansdown报告称，自4月IPO传闻最初浮出水面以来，已有35,000名客户登记IPO提醒。</w:t>
      </w:r>
    </w:p>
    <w:p>
      <w:pPr>
        <w:pStyle w:val="BodyText"/>
      </w:pPr>
      <w:r>
        <w:rPr>
          <w:rFonts w:hint="eastAsia"/>
        </w:rPr>
        <w:t xml:space="preserve">财务上，SpaceX</w:t>
      </w:r>
      <w:r>
        <w:t xml:space="preserve"> </w:t>
      </w:r>
      <w:r>
        <w:rPr>
          <w:rFonts w:hint="eastAsia"/>
        </w:rPr>
        <w:t xml:space="preserve">2025年净亏损49.4亿美元，但同期营收超过185亿美元；据Sacra与晨星等机构跟踪数据，Starlink卫星互联网子公司2025年贡献了114亿美元收入，占SpaceX总营收的61%，并创造了44亿美元的经营利润，是公司当前核心利润中心，活跃客户至2026年2月已突破1000万户、覆盖160个国家与地区。1.75万亿美元的估值将使SpaceX一举跻身全球前十大上市公司之列。SpaceX的估值轨迹本身极为陡峭——2024年6月还是2100亿美元，同年12月通过12.5亿美元二级市场配售跃升至3500亿美元，本次IPO又翻了五倍。SpaceX首席财务官称：“零售将是此次发行的关键部分，规模将超过历史上任何一次IPO。”对欧洲投资者而言主要风险在于汇率敞口、欧盟金融监管的不确定性以及SpaceX近期尚无盈利可见性。</w:t>
      </w:r>
    </w:p>
    <w:p>
      <w:pPr>
        <w:pStyle w:val="BodyText"/>
      </w:pPr>
      <w:r>
        <w:rPr>
          <w:b/>
          <w:bCs/>
        </w:rPr>
        <w:t xml:space="preserve">References</w:t>
      </w:r>
    </w:p>
    <w:p>
      <w:pPr>
        <w:pStyle w:val="BodyText"/>
      </w:pPr>
      <w:r>
        <w:t xml:space="preserve">[38] Euronews. (2026, June 9). SpaceX IPO: How European retail investors can buy shares and the risks to be aware of. Euronews. https://www.euronews.com/business/2026/06/09/spacex-ipo-how-european-retail-investors-can-buy-shares-and-the-risks-to-be-aware-of</w:t>
      </w:r>
      <w:r>
        <w:t xml:space="preserve"> </w:t>
      </w:r>
      <w:r>
        <w:t xml:space="preserve">[39] Sacra. (2026). SpaceX revenue, valuation &amp; funding. Sacra. https://sacra.com/c/spacex/</w:t>
      </w:r>
      <w:r>
        <w:t xml:space="preserve"> </w:t>
      </w:r>
      <w:r>
        <w:t xml:space="preserve">[40] Morningstar. (2026). 6 Charts on SpaceX’s Pre-IPO Financials. Morningstar. https://www.morningstar.com/stocks/6-charts-spacexs-s-1-financials</w:t>
      </w:r>
    </w:p>
    <w:p>
      <w:r>
        <w:pict>
          <v:rect style="width:0;height:1.5pt" o:hralign="center" o:hrstd="t" o:hr="t"/>
        </w:pict>
      </w:r>
    </w:p>
    <w:bookmarkEnd w:id="25"/>
    <w:bookmarkStart w:id="26" w:name="Xa20d1b139dac0c12ed91c2bc9bfc76eb5aeeaa9"/>
    <w:p>
      <w:pPr>
        <w:pStyle w:val="Heading3"/>
      </w:pPr>
      <w:r>
        <w:rPr>
          <w:rFonts w:hint="eastAsia"/>
        </w:rPr>
        <w:t xml:space="preserve">OpenAI以8520亿美元估值秘密递交SEC上市文件，三大AI公司密集冲刺资本市场</w:t>
      </w:r>
    </w:p>
    <w:p>
      <w:pPr>
        <w:pStyle w:val="FirstParagraph"/>
      </w:pPr>
      <w:r>
        <w:rPr>
          <w:rFonts w:hint="eastAsia"/>
        </w:rPr>
        <w:t xml:space="preserve">ChatGPT母公司OpenAI</w:t>
      </w:r>
      <w:r>
        <w:t xml:space="preserve"> </w:t>
      </w:r>
      <w:r>
        <w:rPr>
          <w:rFonts w:hint="eastAsia"/>
        </w:rPr>
        <w:t xml:space="preserve">6月9日向美国证券交易委员会（SEC）秘密递交了S-1初步发行文件，迈出迈向公开市场的关键一步。公司当前私募估值为8520亿美元（7300亿欧元）。这是继6月1日Anthropic递交文件、6月4日SpaceX启动路演之后，第三家在短时间内向公开发行迈进的主要AI企业。OpenAI在声明中表示：“我们尚未决定上市时间；可能还需要一段时间，因为有一些事情作为私营公司更便于推进。”CEO山姆·奥特曼此前公开阐述过开发“自动化AI研究员”以及“为地球上每个人提供个人通用人工智能”的愿景。</w:t>
      </w:r>
    </w:p>
    <w:p>
      <w:pPr>
        <w:pStyle w:val="BodyText"/>
      </w:pPr>
      <w:r>
        <w:rPr>
          <w:rFonts w:hint="eastAsia"/>
        </w:rPr>
        <w:t xml:space="preserve">8520亿美元估值是2026年3月底OpenAI完成1220亿美元单轮融资时达到的水平——由亚马逊（500亿美元）、英伟达（300亿美元）和软银（300亿美元）领投，其中软银承诺分三个季度、每季度100亿美元的方式注入，并另行每年投入30亿美元用于在其电信和科技投资组合中部署OpenAI技术。OpenAI目前月度营收约20亿美元，ChatGPT周活跃用户突破9亿，付费订阅用户超过5000万，是消费级AI市场无可争议的龙头。SEC文件提交触发21天的“静默期”，期间公司不得就IPO计划公开发声。按当前估值，OpenAI若挂牌将跻身标普500指数前15大成份股之列。瑞典、挪威和荷兰的养老金等欧洲机构投资者预计将是任何最终公开发行的重要参与方。三家AI公司密集递表，标志着大型AI企业长期保持私有的阶段接近尾声，对全球资本市场的板块配置将产生深远影响。</w:t>
      </w:r>
    </w:p>
    <w:p>
      <w:pPr>
        <w:pStyle w:val="BodyText"/>
      </w:pPr>
      <w:r>
        <w:rPr>
          <w:b/>
          <w:bCs/>
        </w:rPr>
        <w:t xml:space="preserve">References</w:t>
      </w:r>
    </w:p>
    <w:p>
      <w:pPr>
        <w:pStyle w:val="BodyText"/>
      </w:pPr>
      <w:r>
        <w:t xml:space="preserve">[41] Euronews. (2026, June 9). ChatGPT maker OpenAI files for IPO, joining Anthropic and SpaceX in race to go public. Euronews. https://www.euronews.com/business/2026/06/09/chatgpt-maker-openai-files-for-ipo-joining-anthropic-and-spacex-in-race-to-go-public</w:t>
      </w:r>
      <w:r>
        <w:t xml:space="preserve"> </w:t>
      </w:r>
      <w:r>
        <w:t xml:space="preserve">[42] CNBC. (2026, March 31). OpenAI closes funding round at an $852 billion valuation. CNBC. https://www.cnbc.com/2026/03/31/openai-funding-round-ipo.html</w:t>
      </w:r>
      <w:r>
        <w:t xml:space="preserve"> </w:t>
      </w:r>
      <w:r>
        <w:t xml:space="preserve">[43] Bloomberg. (2026, March 31). OpenAI Valued at $852 Billion After Backing From Amazon, Nvidia, SoftBank. Bloomberg. https://www.bloomberg.com/news/articles/2026-03-31/openai-valued-at-852-billion-after-completing-122-billion-round</w:t>
      </w:r>
    </w:p>
    <w:p>
      <w:r>
        <w:pict>
          <v:rect style="width:0;height:1.5pt" o:hralign="center" o:hrstd="t" o:hr="t"/>
        </w:pict>
      </w:r>
    </w:p>
    <w:bookmarkEnd w:id="26"/>
    <w:bookmarkStart w:id="27" w:name="X8907f47a0c83319d8df2ab7174300690e272346"/>
    <w:p>
      <w:pPr>
        <w:pStyle w:val="Heading3"/>
      </w:pPr>
      <w:r>
        <w:rPr>
          <w:rFonts w:hint="eastAsia"/>
        </w:rPr>
        <w:t xml:space="preserve">布伊格、Orange、Iliad三方203.5亿欧元拆分收购SFR，法国电信市场由四进三</w:t>
      </w:r>
    </w:p>
    <w:p>
      <w:pPr>
        <w:pStyle w:val="FirstParagraph"/>
      </w:pPr>
      <w:r>
        <w:rPr>
          <w:rFonts w:hint="eastAsia"/>
        </w:rPr>
        <w:t xml:space="preserve">布伊格电信（Bouygues</w:t>
      </w:r>
      <w:r>
        <w:t xml:space="preserve"> </w:t>
      </w:r>
      <w:r>
        <w:rPr>
          <w:rFonts w:hint="eastAsia"/>
        </w:rPr>
        <w:t xml:space="preserve">Telecom）、法国电信（Orange</w:t>
      </w:r>
      <w:r>
        <w:t xml:space="preserve"> </w:t>
      </w:r>
      <w:r>
        <w:rPr>
          <w:rFonts w:hint="eastAsia"/>
        </w:rPr>
        <w:t xml:space="preserve">SA）和Iliad（旗下品牌Free）6月6日签署谅解备忘录，以203.5亿欧元（234.4亿美元）的对价向Altice</w:t>
      </w:r>
      <w:r>
        <w:t xml:space="preserve"> </w:t>
      </w:r>
      <w:r>
        <w:rPr>
          <w:rFonts w:hint="eastAsia"/>
        </w:rPr>
        <w:t xml:space="preserve">France拆分收购SFR，构成法国电信业逾十年来最具结构性的重组——尽管协议主体在6月6日签署，专业电信媒体VoIP</w:t>
      </w:r>
      <w:r>
        <w:t xml:space="preserve"> Review </w:t>
      </w:r>
      <w:r>
        <w:rPr>
          <w:rFonts w:hint="eastAsia"/>
        </w:rPr>
        <w:t xml:space="preserve">6月9日才发布的详细分析仍构成本次报道的最完整公开版本，彭博、CNBC等主流财经媒体均已在6月6日就该交易作出报道，三方公布的条款一致。</w:t>
      </w:r>
    </w:p>
    <w:p>
      <w:pPr>
        <w:pStyle w:val="BodyText"/>
      </w:pPr>
      <w:r>
        <w:rPr>
          <w:rFonts w:hint="eastAsia"/>
        </w:rPr>
        <w:t xml:space="preserve">按交易结构，布伊格获得约52%的剥离收入资产，包括590万B2C用户、通过MVNO</w:t>
      </w:r>
      <w:r>
        <w:t xml:space="preserve"> </w:t>
      </w:r>
      <w:r>
        <w:rPr>
          <w:rFonts w:hint="eastAsia"/>
        </w:rPr>
        <w:t xml:space="preserve">Prixtel取得的50万用户、SFR在人口低密度地区的移动网络、B2B固定线基础设施以及人口高密度地区的FTTH光纤网络；Iliad-Free取得27%，主要通过收购SFR的低价子品牌RED获得600万用户；Orange取得21%。SFR控股股东Altice</w:t>
      </w:r>
      <w:r>
        <w:t xml:space="preserve"> </w:t>
      </w:r>
      <w:r>
        <w:rPr>
          <w:rFonts w:hint="eastAsia"/>
        </w:rPr>
        <w:t xml:space="preserve">France背负约600亿欧元的债务，亿万富翁Patrick</w:t>
      </w:r>
      <w:r>
        <w:t xml:space="preserve"> </w:t>
      </w:r>
      <w:r>
        <w:rPr>
          <w:rFonts w:hint="eastAsia"/>
        </w:rPr>
        <w:t xml:space="preserve">Drahi此前拒绝过170亿欧元的报价，最终接受203.5亿欧元。Altice</w:t>
      </w:r>
      <w:r>
        <w:t xml:space="preserve"> </w:t>
      </w:r>
      <w:r>
        <w:rPr>
          <w:rFonts w:hint="eastAsia"/>
        </w:rPr>
        <w:t xml:space="preserve">2025年6月17日在美国南区破产法院申请第15章保护，配合法国法院主导的重组消除约75亿欧元有融资债务、将集团杠杆从6.5倍降至4.6倍，为此次拆分扫清障碍。如最终获得法国竞争管理局和欧盟委员会批准，本次交易将把法国移动运营商数量由四家降至三家，最终法律文件签署预计在2026年下半年，交易完成预期在2027年下半年。当事各方均表示交易“无法保证”必定完成，反垄断审批与监管承诺将是核心变量。</w:t>
      </w:r>
    </w:p>
    <w:p>
      <w:pPr>
        <w:pStyle w:val="BodyText"/>
      </w:pPr>
      <w:r>
        <w:rPr>
          <w:b/>
          <w:bCs/>
        </w:rPr>
        <w:t xml:space="preserve">References</w:t>
      </w:r>
    </w:p>
    <w:p>
      <w:pPr>
        <w:pStyle w:val="BodyText"/>
      </w:pPr>
      <w:r>
        <w:t xml:space="preserve">[44] VoIP Review. (2026, June 9). Altice Sells SFR — Bouygues, Orange, Free Reshape French Telecom. VoIP Review. https://voip.review/2026/06/09/altice-sells-sfr-bouygues-orange-free-reshape-french-telecom/</w:t>
      </w:r>
      <w:r>
        <w:t xml:space="preserve"> </w:t>
      </w:r>
      <w:r>
        <w:t xml:space="preserve">[45] Bloomberg. (2026, June 6). French Carriers in 20.4 Billion Deal to Buy Altice France’s SFR. Bloomberg. https://www.bloomberg.com/news/articles/2026-06-06/french-carriers-in-20-4-billion-deal-to-buy-altice-france-s-sfr</w:t>
      </w:r>
      <w:r>
        <w:t xml:space="preserve"> </w:t>
      </w:r>
      <w:r>
        <w:t xml:space="preserve">[46] CNBC. (2026, June 6). Bouygues-led consortium signs $23.44 billion deal to buy SFR from Altice France. CNBC. https://www.cnbc.com/2026/06/06/bouygues-led-consortium-signs-23point44-billion-deal-to-buy-sfr-from-altice-france.html</w:t>
      </w:r>
      <w:r>
        <w:t xml:space="preserve"> </w:t>
      </w:r>
      <w:r>
        <w:t xml:space="preserve">[47] Capacity Media. (2026). SFR deal signals the end of France’s four-operator era. Capacity. https://capacityglobal.com/news/sfr-deal-singals-end-of-frances-four-operator-era/</w:t>
      </w:r>
    </w:p>
    <w:p>
      <w:r>
        <w:pict>
          <v:rect style="width:0;height:1.5pt" o:hralign="center" o:hrstd="t" o:hr="t"/>
        </w:pict>
      </w:r>
    </w:p>
    <w:bookmarkEnd w:id="27"/>
    <w:bookmarkEnd w:id="28"/>
    <w:bookmarkStart w:id="30" w:name="六其他重要事件"/>
    <w:p>
      <w:pPr>
        <w:pStyle w:val="Heading2"/>
      </w:pPr>
      <w:r>
        <w:rPr>
          <w:rFonts w:hint="eastAsia"/>
        </w:rPr>
        <w:t xml:space="preserve">六、其他重要事件</w:t>
      </w:r>
    </w:p>
    <w:bookmarkStart w:id="29" w:name="西班牙四个月接待2650万游客全年有望刷新历史触及一亿人次"/>
    <w:p>
      <w:pPr>
        <w:pStyle w:val="Heading3"/>
      </w:pPr>
      <w:r>
        <w:rPr>
          <w:rFonts w:hint="eastAsia"/>
        </w:rPr>
        <w:t xml:space="preserve">西班牙四个月接待2650万游客，全年有望刷新历史触及一亿人次</w:t>
      </w:r>
    </w:p>
    <w:p>
      <w:pPr>
        <w:pStyle w:val="FirstParagraph"/>
      </w:pPr>
      <w:r>
        <w:rPr>
          <w:rFonts w:hint="eastAsia"/>
        </w:rPr>
        <w:t xml:space="preserve">西班牙2026年4月接待国际游客910万人次，同比增长5.2%，相当于较去年同期多出约45万人次。前四个月累计接待国际游客2650万人次，同比增长3.4%。英国仍是4月最大客源国，单月入境170万人；加泰罗尼亚地区吸纳全部入境的20.8%。Euronews</w:t>
      </w:r>
      <w:r>
        <w:t xml:space="preserve"> </w:t>
      </w:r>
      <w:r>
        <w:rPr>
          <w:rFonts w:hint="eastAsia"/>
        </w:rPr>
        <w:t xml:space="preserve">6月9日援引行业分析指出，如夏季高峰延续当前趋势，西班牙全年有望逼近1亿国际游客的历史里程碑——这一数字在该国旅游业前所未有。</w:t>
      </w:r>
    </w:p>
    <w:p>
      <w:pPr>
        <w:pStyle w:val="BodyText"/>
      </w:pPr>
      <w:r>
        <w:rPr>
          <w:rFonts w:hint="eastAsia"/>
        </w:rPr>
        <w:t xml:space="preserve">驱动因素是多重的：长途旅行的复苏（尤其是来自美洲的客流）、商务出行回升，以及地缘政治不确定性将原本前往中东和东地中海的游客重新导向被视为安全稳定的西欧目的地。西班牙2025年已创下接待外国游客9680万人次的历史纪录，较2024年的9400万人次增长3.2%，外国游客消费同比上涨6.8%至1347亿欧元；前三大客源仍为英国（1900万）、法国（1270万）和德国（1200万）。2026年国际游客消费预计达到1211亿欧元（约1369亿美元），同比增长约5.3%，整个旅游经济全年预计创造约2270亿欧元。这一旅游繁荣与德国为首的欧洲制造业受伊朗战争能源冲击拖累形成鲜明对照——旅游业占西班牙GDP约12.6%，是该国在欧元区整体放缓中少有的结构性支撑，但同时也让安达卢西亚、巴利阿里、加泰罗尼亚等热门目的地的住房、用水和环境承载力问题愈加突出。</w:t>
      </w:r>
    </w:p>
    <w:p>
      <w:pPr>
        <w:pStyle w:val="BodyText"/>
      </w:pPr>
      <w:r>
        <w:rPr>
          <w:b/>
          <w:bCs/>
        </w:rPr>
        <w:t xml:space="preserve">References</w:t>
      </w:r>
    </w:p>
    <w:p>
      <w:pPr>
        <w:pStyle w:val="BodyText"/>
      </w:pPr>
      <w:r>
        <w:t xml:space="preserve">[48] Euronews. (2026, June 9). Global uncertainty boosts tourism in Spain towards 100 million visitors. Euronews. https://www.euronews.com/travel/2026/06/09/global-uncertainty-boosts-tourism-in-spain-towards-100-million-visitors</w:t>
      </w:r>
      <w:r>
        <w:t xml:space="preserve"> </w:t>
      </w:r>
      <w:r>
        <w:t xml:space="preserve">[49] Euronews. (2026, February 4). Spain plans to focus on quality over quantity as tourist numbers hit record high. Euronews. https://www.euronews.com/travel/2026/02/04/spain-plans-to-focus-on-quality-over-quantity-as-tourist-numbers-hit-record-high</w:t>
      </w:r>
    </w:p>
    <w:p>
      <w:r>
        <w:pict>
          <v:rect style="width:0;height:1.5pt" o:hralign="center" o:hrstd="t" o:hr="t"/>
        </w:pict>
      </w:r>
    </w:p>
    <w:p>
      <w:pPr>
        <w:pStyle w:val="FirstParagraph"/>
      </w:pPr>
      <w:r>
        <w:rPr>
          <w:rFonts w:hint="eastAsia"/>
          <w:i/>
          <w:iCs/>
        </w:rPr>
        <w:t xml:space="preserve">注：本分类当日仅检索到</w:t>
      </w:r>
      <w:r>
        <w:rPr>
          <w:i/>
          <w:iCs/>
        </w:rPr>
        <w:t xml:space="preserve"> 1 </w:t>
      </w:r>
      <w:r>
        <w:rPr>
          <w:rFonts w:hint="eastAsia"/>
          <w:i/>
          <w:iCs/>
        </w:rPr>
        <w:t xml:space="preserve">条符合</w:t>
      </w:r>
      <w:r>
        <w:rPr>
          <w:i/>
          <w:iCs/>
        </w:rPr>
        <w:t xml:space="preserve"> T1-T4 </w:t>
      </w:r>
      <w:r>
        <w:rPr>
          <w:rFonts w:hint="eastAsia"/>
          <w:i/>
          <w:iCs/>
        </w:rPr>
        <w:t xml:space="preserve">标准的新闻。</w:t>
      </w:r>
    </w:p>
    <w:bookmarkEnd w:id="29"/>
    <w:bookmarkEnd w:id="30"/>
    <w:bookmarkEnd w:id="31"/>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2026-06-09T12:51:39Z</dcterms:created>
  <dcterms:modified xsi:type="dcterms:W3CDTF">2026-06-09T12:51:39Z</dcterms:modified>
</cp:coreProperties>
</file>

<file path=docProps/custom.xml><?xml version="1.0" encoding="utf-8"?>
<Properties xmlns="http://schemas.openxmlformats.org/officeDocument/2006/custom-properties" xmlns:vt="http://schemas.openxmlformats.org/officeDocument/2006/docPropsVTypes"/>
</file>