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1d693d064759681538e6aae434c8e8d3344118"/>
    <w:p>
      <w:pPr>
        <w:pStyle w:val="Heading1"/>
      </w:pPr>
      <w:r>
        <w:t xml:space="preserve">United States Daily News Intelligence — July 1, 2026</w:t>
      </w:r>
    </w:p>
    <w:bookmarkStart w:id="12" w:name="economy-markets"/>
    <w:p>
      <w:pPr>
        <w:pStyle w:val="Heading2"/>
      </w:pPr>
      <w:r>
        <w:t xml:space="preserve">1. Economy &amp; Markets</w:t>
      </w:r>
    </w:p>
    <w:bookmarkStart w:id="9" w:name="X0ea2e866f2eef8f16554dbcaf011d36db17593c"/>
    <w:p>
      <w:pPr>
        <w:pStyle w:val="Heading3"/>
      </w:pPr>
      <w:r>
        <w:t xml:space="preserve">Fed Chair Warsh declines to rule out September rate hike at ECB Sintra forum</w:t>
      </w:r>
    </w:p>
    <w:p>
      <w:pPr>
        <w:pStyle w:val="FirstParagraph"/>
      </w:pPr>
      <w:r>
        <w:t xml:space="preserve">Kevin Warsh took the stage in Sintra, Portugal, on July 1 for his first public appearance outside the United States since becoming Federal Reserve chair, sitting on a panel at the European Central Bank’s annual economic forum alongside ECB President Christine Lagarde, Bank of England Governor Andrew Bailey, and Bank of Canada Governor Tiff Macklem. The Q&amp;A began at 9 a.m. EDT on the closing day of a forum that ran June 29 through July 1. What markets heard was a chair unwilling to close the door on higher rates: his remarks echoed the shared inflation problem confronting all four central banks, and investors moved to price in a Fed hike as early as September.</w:t>
      </w:r>
    </w:p>
    <w:p>
      <w:pPr>
        <w:pStyle w:val="BodyText"/>
      </w:pPr>
      <w:r>
        <w:t xml:space="preserve">That posture marks a pivot. At the June meeting — Warsh’s first as chair — the FOMC held the Federal Funds Rate at 3.5%–3.75%, and Warsh has repeatedly stressed that inflation still sits above the Fed’s 2% target. He was confirmed by the Senate in a 54-45 vote on May 13, one of the most divided confirmations in the central bank’s history, and sworn in as the Fed’s 17th chair later that month, succeeding Jerome Powell, who stays on as a governor. Every central banker on the Sintra panel faces above-target inflation, a rare alignment that made the session a read on where global policy turns next rather than a routine conference appearance.</w:t>
      </w:r>
    </w:p>
    <w:p>
      <w:pPr>
        <w:pStyle w:val="BodyText"/>
      </w:pPr>
      <w:r>
        <w:rPr>
          <w:b/>
          <w:bCs/>
        </w:rPr>
        <w:t xml:space="preserve">References</w:t>
      </w:r>
    </w:p>
    <w:p>
      <w:pPr>
        <w:pStyle w:val="BodyText"/>
      </w:pPr>
      <w:r>
        <w:t xml:space="preserve">[1] U.S. News &amp; World Report. (2026, July 1). Warsh hits the international stage with peers sharing an inflation problem. U.S. News &amp; World Report. https://money.usnews.com/investing/news/articles/2026-07-01/warsh-hits-the-international-stage-with-peers-sharing-an-inflation-problem</w:t>
      </w:r>
      <w:r>
        <w:t xml:space="preserve"> </w:t>
      </w:r>
      <w:r>
        <w:t xml:space="preserve">[2] CNBC. (2026, July 1). Kevin Warsh set to give view on rates, central bank overhaul at ECB forum: Live updates. CNBC. https://www.cnbc.com/2026/07/01/kevin-warsh-ecb-forum-live-updates.html</w:t>
      </w:r>
      <w:r>
        <w:t xml:space="preserve"> </w:t>
      </w:r>
      <w:r>
        <w:t xml:space="preserve">[3] VT Markets. (2026, July 1). Sintra ECB forum puts Fed Chair Warsh in spotlight as markets brace for volatility. VT Markets. https://www.vtmarkets.com/en-eu/live-updates/sintra-ecb-forum-puts-fed-chair-warsh-in-spotlight-as-markets-brace-for-volatility/</w:t>
      </w:r>
      <w:r>
        <w:t xml:space="preserve"> </w:t>
      </w:r>
      <w:r>
        <w:t xml:space="preserve">[4] CNBC. (2026, May 13). Kevin Warsh wins Senate confirmation as the next Federal Reserve chair. CNBC. https://www.cnbc.com/2026/05/13/kevin-warsh-wins-senate-confirmation-as-the-next-federal-reserve-chair.html</w:t>
      </w:r>
    </w:p>
    <w:p>
      <w:r>
        <w:pict>
          <v:rect style="width:0;height:1.5pt" o:hralign="center" o:hrstd="t" o:hr="t"/>
        </w:pict>
      </w:r>
    </w:p>
    <w:bookmarkEnd w:id="9"/>
    <w:bookmarkStart w:id="10" w:name="Xf4092c1fe857c95110a4559d97ffddd6a5ef639"/>
    <w:p>
      <w:pPr>
        <w:pStyle w:val="Heading3"/>
      </w:pPr>
      <w:r>
        <w:t xml:space="preserve">US formally declines to extend USMCA for 16 years, triggering a decade-long countdown</w:t>
      </w:r>
    </w:p>
    <w:p>
      <w:pPr>
        <w:pStyle w:val="FirstParagraph"/>
      </w:pPr>
      <w:r>
        <w:t xml:space="preserve">The Trump administration declared on July 1 that it would not extend the USMCA for another 16 years, a decision delivered during a trilateral virtual meeting the same day and one that starts the clock ticking toward the pact’s expiry on July 1, 2036. Rather than an immediate exit, the declaration initiates a six-year consultation period followed by annual review sessions for 10 years before the agreement lapses. President Donald Trump was</w:t>
      </w:r>
      <w:r>
        <w:t xml:space="preserve"> </w:t>
      </w:r>
      <w:r>
        <w:t xml:space="preserve">“not looking to renew,”</w:t>
      </w:r>
      <w:r>
        <w:t xml:space="preserve"> </w:t>
      </w:r>
      <w:r>
        <w:t xml:space="preserve">a stance that converts what was designed as a routine joint review into a slow-motion wind-down.</w:t>
      </w:r>
    </w:p>
    <w:p>
      <w:pPr>
        <w:pStyle w:val="BodyText"/>
      </w:pPr>
      <w:r>
        <w:t xml:space="preserve">The mechanics matter. USMCA, which replaced NAFTA in 2020, was built with a 16-year term and a joint-review checkpoint on its sixth anniversary — the first such provision in any US free-trade agreement. Had all three governments confirmed in writing, the deal would have rolled forward automatically for another 16 years; because Washington declined, the treaty now enters the annual-review track that ends in termination unless the parties later agree otherwise.</w:t>
      </w:r>
    </w:p>
    <w:p>
      <w:pPr>
        <w:pStyle w:val="BodyText"/>
      </w:pPr>
      <w:r>
        <w:t xml:space="preserve">The refusal comes with leverage attached. Washington is demanding 50% US-specific content in North American-built vehicles and pushing regional content requirements from 75% to 82%, and it has already imposed 25% tariffs on Canadian and Mexican autos and parts plus 50% tariffs on steel and aluminum. The US is negotiating with Mexico only, leaving Canada outside the room.</w:t>
      </w:r>
    </w:p>
    <w:p>
      <w:pPr>
        <w:pStyle w:val="BodyText"/>
      </w:pPr>
      <w:r>
        <w:rPr>
          <w:b/>
          <w:bCs/>
        </w:rPr>
        <w:t xml:space="preserve">References</w:t>
      </w:r>
    </w:p>
    <w:p>
      <w:pPr>
        <w:pStyle w:val="BodyText"/>
      </w:pPr>
      <w:r>
        <w:t xml:space="preserve">[5] Lawder, D. (2026, July 1). US declaration to exit USMCA to start decade-long countdown. Reuters via Yahoo Finance UK. https://uk.finance.yahoo.com/news/u-declaration-exit-usmca-start-100703179.html</w:t>
      </w:r>
      <w:r>
        <w:t xml:space="preserve"> </w:t>
      </w:r>
      <w:r>
        <w:t xml:space="preserve">[6] Congressional Research Service. (2026, January 8). USMCA joint review: Process and role of Congress. Congress.gov. https://www.congress.gov/crs-product/R48787</w:t>
      </w:r>
    </w:p>
    <w:p>
      <w:r>
        <w:pict>
          <v:rect style="width:0;height:1.5pt" o:hralign="center" o:hrstd="t" o:hr="t"/>
        </w:pict>
      </w:r>
    </w:p>
    <w:bookmarkEnd w:id="10"/>
    <w:bookmarkStart w:id="11" w:name="Xf330bcd5562c2f0af13b21ee16d710d7e7d5c8d"/>
    <w:p>
      <w:pPr>
        <w:pStyle w:val="Heading3"/>
      </w:pPr>
      <w:r>
        <w:t xml:space="preserve">US stocks close strongest quarter since 2020 as new quarter opens</w:t>
      </w:r>
    </w:p>
    <w:p>
      <w:pPr>
        <w:pStyle w:val="FirstParagraph"/>
      </w:pPr>
      <w:r>
        <w:t xml:space="preserve">US equity markets closed higher on July 1, capping the strongest second quarter since 2020: the Nasdaq Composite gained 1.52%, the S&amp;P 500 advanced 0.52%, and the Dow rose 0.27% on the final day of the quarter. The same session opened the third quarter — July 1 doubled as both the last trading day of Q2 and the first of Q3 — with the 10-year Treasury yield edging modestly higher.</w:t>
      </w:r>
    </w:p>
    <w:p>
      <w:pPr>
        <w:pStyle w:val="BodyText"/>
      </w:pPr>
      <w:r>
        <w:t xml:space="preserve">The rally that powered the quarter drew on resilient corporate earnings, early signals that the Fed would hold rather than cut, and a partial thaw in trade uncertainty. For the S&amp;P 500, the three-month total return was its best since 2020 — a benchmark that reaches back to the post-pandemic surge, underscoring how far the index has run despite a year marked by tariff disputes and a leadership change at the Fed.</w:t>
      </w:r>
    </w:p>
    <w:p>
      <w:pPr>
        <w:pStyle w:val="BodyText"/>
      </w:pPr>
      <w:r>
        <w:rPr>
          <w:b/>
          <w:bCs/>
        </w:rPr>
        <w:t xml:space="preserve">References</w:t>
      </w:r>
    </w:p>
    <w:p>
      <w:pPr>
        <w:pStyle w:val="BodyText"/>
      </w:pPr>
      <w:r>
        <w:t xml:space="preserve">[7] TheStreet. (2026, July 1). Stock market today, July 1, 2026: Nasdaq futures slip after strongest quarter since 2020. TheStreet. https://www.thestreet.com/stock-market-today/stock-market-today-july-1-2026-nasdaq-futures-slip-after-strongest-quarter-since-2020</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1e3f661c53ac2ff161900ad6fef8d27f3000ff4"/>
    <w:p>
      <w:pPr>
        <w:pStyle w:val="Heading3"/>
      </w:pPr>
      <w:r>
        <w:t xml:space="preserve">Supreme Court closes term with expanded presidential power, birthright citizenship intact</w:t>
      </w:r>
    </w:p>
    <w:p>
      <w:pPr>
        <w:pStyle w:val="FirstParagraph"/>
      </w:pPr>
      <w:r>
        <w:t xml:space="preserve">The Supreme Court wrapped its 2025–2026 term with a set of rulings handed down June 29–30 that hand President Trump sweeping new authority in some areas while blocking him in others. In Trump v. Slaughter, a 6-3 conservative majority struck down removal protections for independent-agency members including the Federal Trade Commission, overruling the 91-year-old Humphrey’s Executor precedent and clearing the way for the president to fire agency heads at will.</w:t>
      </w:r>
    </w:p>
    <w:p>
      <w:pPr>
        <w:pStyle w:val="BodyText"/>
      </w:pPr>
      <w:r>
        <w:t xml:space="preserve">Humphrey’s Executor, decided unanimously in 1935, had shielded officials at agencies with quasi-judicial and quasi-legislative duties from being removed for political reasons — the legal backbone of the independent regulatory state for nearly a century. Its fall reorders the relationship between the White House and dozens of agencies long presumed insulated from direct presidential control.</w:t>
      </w:r>
    </w:p>
    <w:p>
      <w:pPr>
        <w:pStyle w:val="BodyText"/>
      </w:pPr>
      <w:r>
        <w:t xml:space="preserve">The term cut the other way in several high-profile cases. A separate 6-3 decision upheld birthright citizenship under the 14th Amendment, defeating Trump’s executive order, with Chief Justice John Roberts writing the majority. In Learning Resources v. Trump, the court struck down the president’s emergency tariffs 6-3, holding they amounted to a tax only Congress can impose. But a 6-3 ruling in Trump v. TPS stripped Temporary Protected Status from Haitian and Syrian immigrants, and a 5-4 order temporarily allowed Fed Board member Lisa Cook to remain in her seat pending further proceedings.</w:t>
      </w:r>
    </w:p>
    <w:p>
      <w:pPr>
        <w:pStyle w:val="BodyText"/>
      </w:pPr>
      <w:r>
        <w:rPr>
          <w:b/>
          <w:bCs/>
        </w:rPr>
        <w:t xml:space="preserve">References</w:t>
      </w:r>
    </w:p>
    <w:p>
      <w:pPr>
        <w:pStyle w:val="BodyText"/>
      </w:pPr>
      <w:r>
        <w:t xml:space="preserve">[8] Totenberg, N. (2026, July 1). Supreme Court deals some blows to Trump’s agenda but leaves him with more expansive powers. NPR. https://www.npr.org/2026/07/01/nx-s1-5876231/supreme-court-deals-some-blows-to-trumps-agenda-but-leaves-him-with-more-expansive-powers</w:t>
      </w:r>
      <w:r>
        <w:t xml:space="preserve"> </w:t>
      </w:r>
      <w:r>
        <w:t xml:space="preserve">[9] CBS News. (2026, July 1). Supreme Court rules on birthright citizenship, tariffs and presidential power. CBS News. https://www.cbsnews.com/news/supreme-court-trump-birthright-citizenship-tariffs-presidential-power/</w:t>
      </w:r>
      <w:r>
        <w:t xml:space="preserve"> </w:t>
      </w:r>
      <w:r>
        <w:t xml:space="preserve">[10] NPR. (2026, July 1). SCOTUS upholds birthright citizenship, Colorado primary results, World Cup heats up. NPR. https://www.npr.org/2026/07/01/nx-s1-5877267/scotus-upholds-birthright-citizenship-colorado-primary-results-world-cup-heats-up</w:t>
      </w:r>
    </w:p>
    <w:p>
      <w:r>
        <w:pict>
          <v:rect style="width:0;height:1.5pt" o:hralign="center" o:hrstd="t" o:hr="t"/>
        </w:pict>
      </w:r>
    </w:p>
    <w:bookmarkEnd w:id="13"/>
    <w:bookmarkStart w:id="14" w:name="Xdf64634e9dc63025392c7f4e7011e1c619bcb51"/>
    <w:p>
      <w:pPr>
        <w:pStyle w:val="Heading3"/>
      </w:pPr>
      <w:r>
        <w:t xml:space="preserve">Democratic socialist Melat Kiros unseats 15-term incumbent Diana DeGette in Colorado primary</w:t>
      </w:r>
    </w:p>
    <w:p>
      <w:pPr>
        <w:pStyle w:val="FirstParagraph"/>
      </w:pPr>
      <w:r>
        <w:t xml:space="preserve">Melat Kiros, a 29-year-old democratic socialist and former immigration attorney, defeated 15-term Rep. Diana DeGette in Colorado’s 1st Congressional District Democratic primary on June 30, with the Associated Press calling the race after 78% of votes were counted and Kiros leading by nearly 7,000 votes. Kiros, who immigrated from Ethiopia as an infant, is now the likely November winner in a district that has been solidly Democratic for decades.</w:t>
      </w:r>
    </w:p>
    <w:p>
      <w:pPr>
        <w:pStyle w:val="BodyText"/>
      </w:pPr>
      <w:r>
        <w:t xml:space="preserve">The upset had been building. Kiros dealt DeGette her first-ever defeat at the Denver Democratic assembly in March, taking the top ballot line, and drew endorsements from Sen. Bernie Sanders, the Democratic Socialists of America, and Justice Democrats. She argued DeGette’s long-held progressive credentials no longer matched the urgency of a moment with Democrats out of power in Washington — a message that landed as the insurgent left notched another win over an entrenched incumbent.</w:t>
      </w:r>
    </w:p>
    <w:p>
      <w:pPr>
        <w:pStyle w:val="BodyText"/>
      </w:pPr>
      <w:r>
        <w:t xml:space="preserve">The primary night reshaped the state’s ballot beyond the 1st District. Colorado Attorney General Phil Weiser won the Democratic gubernatorial nomination over Sen. Michael Bennet, while John Hickenlooper took the Senate primary.</w:t>
      </w:r>
    </w:p>
    <w:p>
      <w:pPr>
        <w:pStyle w:val="BodyText"/>
      </w:pPr>
      <w:r>
        <w:rPr>
          <w:b/>
          <w:bCs/>
        </w:rPr>
        <w:t xml:space="preserve">References</w:t>
      </w:r>
    </w:p>
    <w:p>
      <w:pPr>
        <w:pStyle w:val="BodyText"/>
      </w:pPr>
      <w:r>
        <w:t xml:space="preserve">[11] Al Jazeera. (2026, July 1). Democratic socialist Kiros defeats longtime incumbent in Colorado primary. Al Jazeera. https://www.aljazeera.com/news/2026/7/1/democratic-socialist-kiros-defeats-longtime-incumbent-in-colorado-primary</w:t>
      </w:r>
      <w:r>
        <w:t xml:space="preserve"> </w:t>
      </w:r>
      <w:r>
        <w:t xml:space="preserve">[12] Axios Denver. (2026, July 1). Colorado Democratic primary results: takeaways. Axios. https://www.axios.com/local/denver/2026/07/01/colorado-democratic-primary-results-takeaways</w:t>
      </w:r>
      <w:r>
        <w:t xml:space="preserve"> </w:t>
      </w:r>
      <w:r>
        <w:t xml:space="preserve">[13] NBC News. (2026, July 1). Democratic socialist Melat Kiros unseats Rep. Diana DeGette in Colorado House primary. NBC News. https://www.nbcnews.com/politics/2026-election/colorado-house-primaries-midterm-election-degette-kiros-rcna351914</w:t>
      </w:r>
    </w:p>
    <w:p>
      <w:r>
        <w:pict>
          <v:rect style="width:0;height:1.5pt" o:hralign="center" o:hrstd="t" o:hr="t"/>
        </w:pict>
      </w:r>
    </w:p>
    <w:bookmarkEnd w:id="14"/>
    <w:bookmarkStart w:id="15" w:name="X0982a84adbeb95ae09eabc1f97c3afbb6808fbb"/>
    <w:p>
      <w:pPr>
        <w:pStyle w:val="Heading3"/>
      </w:pPr>
      <w:r>
        <w:t xml:space="preserve">Ten new Virginia laws take effect July 1, with the firearms ban partly halted by a judge</w:t>
      </w:r>
    </w:p>
    <w:p>
      <w:pPr>
        <w:pStyle w:val="FirstParagraph"/>
      </w:pPr>
      <w:r>
        <w:t xml:space="preserve">Ten notable new Virginia laws took effect July 1, led by a salary-transparency rule that requires employers to publish wage ranges in job postings and bars them from asking applicants about salary history, with civil penalties running up to $1,000 for a first offense and $5,000 for subsequent ones. A ban on the sale, manufacture, and transfer of certain semi-automatic firearms and large-capacity magazines was also on the books — but a judge granted a preliminary injunction halting the sales provision in localities including Chesterfield County, leaving the centerpiece gun measure partly frozen on the day it was meant to begin.</w:t>
      </w:r>
    </w:p>
    <w:p>
      <w:pPr>
        <w:pStyle w:val="BodyText"/>
      </w:pPr>
      <w:r>
        <w:t xml:space="preserve">The injunction was not isolated. Separate courts, including a statewide preliminary injunction secured by gun-rights groups, blocked enforcement of the</w:t>
      </w:r>
      <w:r>
        <w:t xml:space="preserve"> </w:t>
      </w:r>
      <w:r>
        <w:t xml:space="preserve">“assault firearm”</w:t>
      </w:r>
      <w:r>
        <w:t xml:space="preserve"> </w:t>
      </w:r>
      <w:r>
        <w:t xml:space="preserve">and magazine bans, with one order running until December 31 or a final ruling; existing owners were already exempt from the law.</w:t>
      </w:r>
    </w:p>
    <w:p>
      <w:pPr>
        <w:pStyle w:val="BodyText"/>
      </w:pPr>
      <w:r>
        <w:t xml:space="preserve">The employment changes reach further than pay postings. Noncompete agreements are now unenforceable when laid-off employees receive no severance, and noncompetes for licensed healthcare workers — nurses, counselors, psychologists, physicians — are barred outright. A clean-slate provision expands automatic expungement of certain records, and new tenant protections and paid-sick-leave accrual rules round out the batch.</w:t>
      </w:r>
    </w:p>
    <w:p>
      <w:pPr>
        <w:pStyle w:val="BodyText"/>
      </w:pPr>
      <w:r>
        <w:rPr>
          <w:b/>
          <w:bCs/>
        </w:rPr>
        <w:t xml:space="preserve">References</w:t>
      </w:r>
    </w:p>
    <w:p>
      <w:pPr>
        <w:pStyle w:val="BodyText"/>
      </w:pPr>
      <w:r>
        <w:t xml:space="preserve">[14] Virginia Mercury. (2026, July 1). Here are 10 notable new Virginia laws that will take effect July 1. Virginia Mercury. https://virginiamercury.com/2026/07/01/here-are-10-notable-new-virginia-laws-that-will-take-effect-july-1/</w:t>
      </w:r>
      <w:r>
        <w:t xml:space="preserve"> </w:t>
      </w:r>
      <w:r>
        <w:t xml:space="preserve">[15] Axios Richmond. (2026, July 1). Virginia’s new July 2026 laws: drivers, renters, insurance. Axios. https://www.axios.com/local/richmond/2026/07/01/virginia-new-laws-july-2026-drivers-renters-insurance</w:t>
      </w:r>
      <w:r>
        <w:t xml:space="preserve"> </w:t>
      </w:r>
      <w:r>
        <w:t xml:space="preserve">[16] Jackson Lewis. (2026, July 1). Pay transparency, non-competes, paid sick leave: more changes for Virginia employers start July 1. Jackson Lewis. https://www.jacksonlewis.com/insights/pay-transparency-non-competes-paid-sick-leave-more-changes-virginia-employers-start-july-1</w:t>
      </w:r>
      <w:r>
        <w:t xml:space="preserve"> </w:t>
      </w:r>
      <w:r>
        <w:t xml:space="preserve">[17] NRA-ILA. (2026, June 29). NRA secures statewide preliminary injunction against Virginia</w:t>
      </w:r>
      <w:r>
        <w:t xml:space="preserve"> </w:t>
      </w:r>
      <w:r>
        <w:t xml:space="preserve">“assault firearm”</w:t>
      </w:r>
      <w:r>
        <w:t xml:space="preserve"> </w:t>
      </w:r>
      <w:r>
        <w:t xml:space="preserve">and magazine bans. NRA-ILA. https://www.nraila.org/articles/20260629/nra-secures-statewide-preliminary-injunction-against-virginia-assault-firearm-and-magazine-bans</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6fb056185aaf8aa0a5d578ca131bb2b2fdd9e49"/>
    <w:p>
      <w:pPr>
        <w:pStyle w:val="Heading3"/>
      </w:pPr>
      <w:r>
        <w:t xml:space="preserve">US Commerce Department lifts export controls on Anthropic’s Claude Fable 5 and Mythos 5</w:t>
      </w:r>
    </w:p>
    <w:p>
      <w:pPr>
        <w:pStyle w:val="FirstParagraph"/>
      </w:pPr>
      <w:r>
        <w:t xml:space="preserve">The US Department of Commerce removed export controls on Anthropic’s Claude Fable 5 and Mythos 5 AI models on July 1, ending an 18-day freeze that had knocked two of the company’s most advanced systems offline for foreign nationals worldwide. Anthropic said access restoration begins July 2, with Fable 5 returning globally at a 50% weekly request cap through July 7 and Mythos 5 restored to select US organizations. Commerce Secretary Howard Lutnick said Anthropic had agreed to</w:t>
      </w:r>
      <w:r>
        <w:t xml:space="preserve"> </w:t>
      </w:r>
      <w:r>
        <w:t xml:space="preserve">“proactively detect and address security risks.”</w:t>
      </w:r>
    </w:p>
    <w:p>
      <w:pPr>
        <w:pStyle w:val="BodyText"/>
      </w:pPr>
      <w:r>
        <w:t xml:space="preserve">The controls landed June 12, days after the models’ public launch, when Commerce ordered Anthropic to suspend access for all foreign nationals — including its own foreign-national employees — over national-security concerns tied to a jailbreak vulnerability. The dispute turned sharp: a White House adviser accused the company of refusing to fix the flaw, while Anthropic disputed the severity, describing it as a narrow bypass rather than a universal defeat of the models’ safeguards.</w:t>
      </w:r>
    </w:p>
    <w:p>
      <w:pPr>
        <w:pStyle w:val="BodyText"/>
      </w:pPr>
      <w:r>
        <w:t xml:space="preserve">The reversal caps a months-long collision between Anthropic and the government. The company sued the Department of Defense in March after being labeled a</w:t>
      </w:r>
      <w:r>
        <w:t xml:space="preserve"> </w:t>
      </w:r>
      <w:r>
        <w:t xml:space="preserve">“supply chain risk,”</w:t>
      </w:r>
      <w:r>
        <w:t xml:space="preserve"> </w:t>
      </w:r>
      <w:r>
        <w:t xml:space="preserve">and on June 28 it won approval to provide the models to US critical-infrastructure operators — a sign the security posture was already shifting days before the export controls came off.</w:t>
      </w:r>
    </w:p>
    <w:p>
      <w:pPr>
        <w:pStyle w:val="BodyText"/>
      </w:pPr>
      <w:r>
        <w:rPr>
          <w:b/>
          <w:bCs/>
        </w:rPr>
        <w:t xml:space="preserve">References</w:t>
      </w:r>
    </w:p>
    <w:p>
      <w:pPr>
        <w:pStyle w:val="BodyText"/>
      </w:pPr>
      <w:r>
        <w:t xml:space="preserve">[18] Power, J. (2026, July 1). US lifts restrictions on powerful AI models Fable, Mythos, Anthropic says. Al Jazeera. https://www.aljazeera.com/economy/2026/7/1/us-lifts-restrictions-on-powerful-ai-models-fable-mythos-anthropic-says</w:t>
      </w:r>
      <w:r>
        <w:t xml:space="preserve"> </w:t>
      </w:r>
      <w:r>
        <w:t xml:space="preserve">[19] Carter, S. (2026, July 1). Anthropic wins as Commerce lifts Fable 5 and Mythos 5 export controls. Forbes. https://www.forbes.com/sites/sandycarter/2026/07/01/anthropic-wins-as-commerce-lifts-fable-5-and-mythos-5-export-controls/</w:t>
      </w:r>
      <w:r>
        <w:t xml:space="preserve"> </w:t>
      </w:r>
      <w:r>
        <w:t xml:space="preserve">[20] Ray, S. (2026, July 1). Trump administration lifts export controls on Anthropic’s Mythos 5 and Fable 5 AI models. Forbes. https://www.forbes.com/sites/siladityaray/2026/07/01/trump-administration-lifts-export-controls-on-anthropics-mythos-5-and-fable-5-ai-models/</w:t>
      </w:r>
      <w:r>
        <w:t xml:space="preserve"> </w:t>
      </w:r>
      <w:r>
        <w:t xml:space="preserve">[21] Sircar, A. (2026, June 16). Anthropic disabled Fable 5 and Mythos 5 after a U.S. export-control order. Here’s what happened. Forbes. https://www.forbes.com/sites/anishasircar/2026/06/16/anthropic-disabled-fable-5-and-mythos-5-after-a-us-export-control-order-heres-what-happened/</w:t>
      </w:r>
    </w:p>
    <w:p>
      <w:r>
        <w:pict>
          <v:rect style="width:0;height:1.5pt" o:hralign="center" o:hrstd="t" o:hr="t"/>
        </w:pict>
      </w:r>
    </w:p>
    <w:bookmarkEnd w:id="17"/>
    <w:bookmarkStart w:id="18" w:name="X8f4447f59213ff541e6c9cc7c15e627e58f84f1"/>
    <w:p>
      <w:pPr>
        <w:pStyle w:val="Heading3"/>
      </w:pPr>
      <w:r>
        <w:t xml:space="preserve">Microsoft prepares to cut thousands of jobs as AI capex squeezes budgets</w:t>
      </w:r>
    </w:p>
    <w:p>
      <w:pPr>
        <w:pStyle w:val="FirstParagraph"/>
      </w:pPr>
      <w:r>
        <w:t xml:space="preserve">Microsoft plans to announce workforce reductions as early as the week of July 6 —</w:t>
      </w:r>
      <w:r>
        <w:t xml:space="preserve"> </w:t>
      </w:r>
      <w:r>
        <w:t xml:space="preserve">“thousands”</w:t>
      </w:r>
      <w:r>
        <w:t xml:space="preserve"> </w:t>
      </w:r>
      <w:r>
        <w:t xml:space="preserve">of jobs, but fewer than 2.5% of its 220,000 global workforce — with sales, consulting, and Xbox bearing the brunt, Fortune reported July 1, citing Business Insider and reporting later confirmed by GeekWire. The cuts follow a round of voluntary buyouts previously offered to roughly 7% of US workers, about 9,000 people, of whom around one-third accepted.</w:t>
      </w:r>
    </w:p>
    <w:p>
      <w:pPr>
        <w:pStyle w:val="BodyText"/>
      </w:pPr>
      <w:r>
        <w:t xml:space="preserve">The driver is cost control as AI spending devours ever more of the budget. Microsoft’s projected capital expenditure for 2026 runs about $190 billion, up 61% year over year, and its shares are down roughly 20% year to date. The layoffs would extend a pattern rather than break it: Microsoft eliminated 6,000 roles in May 2025 and another 9,000 in July 2025, turning midyear restructuring into an annual event.</w:t>
      </w:r>
    </w:p>
    <w:p>
      <w:pPr>
        <w:pStyle w:val="BodyText"/>
      </w:pPr>
      <w:r>
        <w:t xml:space="preserve">The pressure is industry-wide. Big Tech — Meta, Microsoft, Amazon, and Alphabet — is projected to spend $725 billion on capex in 2026, a 77% jump, as the arms race to build AI infrastructure collides with investor demand for cost discipline. Within Xbox, Microsoft is weighing the closure or sale of several studios.</w:t>
      </w:r>
    </w:p>
    <w:p>
      <w:pPr>
        <w:pStyle w:val="BodyText"/>
      </w:pPr>
      <w:r>
        <w:rPr>
          <w:b/>
          <w:bCs/>
        </w:rPr>
        <w:t xml:space="preserve">References</w:t>
      </w:r>
    </w:p>
    <w:p>
      <w:pPr>
        <w:pStyle w:val="BodyText"/>
      </w:pPr>
      <w:r>
        <w:t xml:space="preserve">[22] Nusca, A. (2026, July 1). Microsoft may cut thousands more jobs to control costs. Fortune. https://fortune.com/2026/07/01/microsoft-may-cut-thousands-more-jobs-control-costs/</w:t>
      </w:r>
      <w:r>
        <w:t xml:space="preserve"> </w:t>
      </w:r>
      <w:r>
        <w:t xml:space="preserve">[23] BusinessWorld. (2026, July 1). Microsoft to cut under 2.5% of workforce in latest layoffs, Business Insider reports. BusinessWorld Online. https://bworldonline.com/technology/2026/07/01/760362/microsoft-to-cut-under-2-5-of-workforce-in-latest-layoffs-business-insider-reports/</w:t>
      </w:r>
      <w:r>
        <w:t xml:space="preserve"> </w:t>
      </w:r>
      <w:r>
        <w:t xml:space="preserve">[24] Windows Central. (2026, July 1). Microsoft expected to lay off thousands in what has become an annual July restructuring. Windows Central. https://www.windowscentral.com/microsoft/microsoft-expected-to-lay-off-thousands-in-what-has-become-an-annual-july-restructuring</w:t>
      </w:r>
      <w:r>
        <w:t xml:space="preserve"> </w:t>
      </w:r>
      <w:r>
        <w:t xml:space="preserve">[25] GeekWire. (2026, July 1). Microsoft set for new round of job cuts next week, spanning Xbox, sales and consulting. GeekWire. https://www.geekwire.com/2026/microsoft-set-to-cut-thousands-of-jobs-next-week-spanning-xbox-sales-and-consulting/</w:t>
      </w:r>
    </w:p>
    <w:p>
      <w:pPr>
        <w:pStyle w:val="BodyText"/>
      </w:pPr>
      <w:r>
        <w:rPr>
          <w:i/>
          <w:iCs/>
        </w:rPr>
        <w:t xml:space="preserve">Note: only 2 stories met T1-T4 standards for this category today.</w:t>
      </w:r>
    </w:p>
    <w:p>
      <w:r>
        <w:pict>
          <v:rect style="width:0;height:1.5pt" o:hralign="center" o:hrstd="t" o:hr="t"/>
        </w:pict>
      </w:r>
    </w:p>
    <w:bookmarkEnd w:id="18"/>
    <w:bookmarkEnd w:id="19"/>
    <w:bookmarkStart w:id="23" w:name="society-livelihood"/>
    <w:p>
      <w:pPr>
        <w:pStyle w:val="Heading2"/>
      </w:pPr>
      <w:r>
        <w:t xml:space="preserve">4. Society &amp; Livelihood</w:t>
      </w:r>
    </w:p>
    <w:bookmarkStart w:id="20" w:name="X8da1e7c30aa3c1b7c0ec2cb216f21f0d30c0abc"/>
    <w:p>
      <w:pPr>
        <w:pStyle w:val="Heading3"/>
      </w:pPr>
      <w:r>
        <w:t xml:space="preserve">Federal student loan overhaul takes effect July 1, ending Grad PLUS for new borrowers</w:t>
      </w:r>
    </w:p>
    <w:p>
      <w:pPr>
        <w:pStyle w:val="FirstParagraph"/>
      </w:pPr>
      <w:r>
        <w:t xml:space="preserve">A federal student loan overhaul mandated by the One Big Beautiful Bill Act took effect July 1, cutting off new borrowers from Graduate PLUS loans and imposing a web of new caps. Graduate students face a $100,000 lifetime limit; professional-degree students are held to $50,000 a year and $200,000 total; Parent PLUS loans are capped at $20,000 a year and $65,000 total; and every new borrower now sits under a universal $257,500 lifetime ceiling.</w:t>
      </w:r>
    </w:p>
    <w:p>
      <w:pPr>
        <w:pStyle w:val="BodyText"/>
      </w:pPr>
      <w:r>
        <w:t xml:space="preserve">The repayment landscape narrows too. New borrowers get two options — a Tiered Standard Plan and a Repayment Assistance Plan (RAP) — replacing the Biden-era SAVE plan, which had already been blocked in federal court and now sunsets in July 2028. Roughly 7.2 million SAVE borrowers must select a new plan within 90 days. Pell Grant eligibility has also been tightened.</w:t>
      </w:r>
    </w:p>
    <w:p>
      <w:pPr>
        <w:pStyle w:val="BodyText"/>
      </w:pPr>
      <w:r>
        <w:t xml:space="preserve">The rollout is not without friction: a federal judge recently paused implementation of some lower borrowing limits while litigation proceeds, largely over whether certain healthcare programs count as professional or graduate study. Existing Grad PLUS borrowers keep limited continuing eligibility to finish their current programs.</w:t>
      </w:r>
    </w:p>
    <w:p>
      <w:pPr>
        <w:pStyle w:val="BodyText"/>
      </w:pPr>
      <w:r>
        <w:rPr>
          <w:b/>
          <w:bCs/>
        </w:rPr>
        <w:t xml:space="preserve">References</w:t>
      </w:r>
    </w:p>
    <w:p>
      <w:pPr>
        <w:pStyle w:val="BodyText"/>
      </w:pPr>
      <w:r>
        <w:t xml:space="preserve">[26] ABC News. (2026, July 1). Major student loan changes take effect July 1. ABC News. https://abcnews.com/Politics/major-student-loan-effect-july-1/story?id=134322184</w:t>
      </w:r>
      <w:r>
        <w:t xml:space="preserve"> </w:t>
      </w:r>
      <w:r>
        <w:t xml:space="preserve">[27] PBS NewsHour. (2026, July 1). Major changes to student loan borrowing and repayment are coming. Here’s what to know. PBS NewsHour. https://www.pbs.org/newshour/nation/major-changes-to-student-loan-borrowing-and-repayment-are-coming-heres-what-to-know</w:t>
      </w:r>
      <w:r>
        <w:t xml:space="preserve"> </w:t>
      </w:r>
      <w:r>
        <w:t xml:space="preserve">[28] U.S. Department of Education. (2026, July 1). U.S. Department of Education concludes negotiated rulemaking session to implement the One Big Beautiful Bill Act’s loan provisions. U.S. Department of Education. https://www.ed.gov/about/news/press-release/us-department-of-education-concludes-negotiated-rulemaking-session-implement-one-big-beautiful-bill-acts-loan-provisions</w:t>
      </w:r>
    </w:p>
    <w:p>
      <w:r>
        <w:pict>
          <v:rect style="width:0;height:1.5pt" o:hralign="center" o:hrstd="t" o:hr="t"/>
        </w:pict>
      </w:r>
    </w:p>
    <w:bookmarkEnd w:id="20"/>
    <w:bookmarkStart w:id="21" w:name="X7afc14b30bfbd7b4823415cab9adefe868cd978"/>
    <w:p>
      <w:pPr>
        <w:pStyle w:val="Heading3"/>
      </w:pPr>
      <w:r>
        <w:t xml:space="preserve">Medicare covers GLP-1 weight-loss drugs for the first time under new Bridge program</w:t>
      </w:r>
    </w:p>
    <w:p>
      <w:pPr>
        <w:pStyle w:val="FirstParagraph"/>
      </w:pPr>
      <w:r>
        <w:t xml:space="preserve">The Medicare GLP-1 Bridge, a CMS demonstration program, launched July 1 — the first time Medicare has covered GLP-1 weight-loss medications — and runs through December 31, 2027. Eligible Part D beneficiaries pay a fixed $50 monthly copay with no deductible for all formulations of Foundayo, all formulations of Wegovy, and the KwikPen formulation of Zepbound.</w:t>
      </w:r>
    </w:p>
    <w:p>
      <w:pPr>
        <w:pStyle w:val="BodyText"/>
      </w:pPr>
      <w:r>
        <w:t xml:space="preserve">Eligibility is tiered by clinical risk: a BMI of 35 or higher qualifies on its own; a BMI of 30 or higher qualifies with heart failure, uncontrolled hypertension, or chronic kidney disease; and a BMI of 27 or higher qualifies with pre-diabetes, a prior heart attack or stroke, or symptomatic peripheral artery disease. CMS estimates about 3.8 million beneficiaries are eligible and has selected Humana as the central claims processor.</w:t>
      </w:r>
    </w:p>
    <w:p>
      <w:pPr>
        <w:pStyle w:val="BodyText"/>
      </w:pPr>
      <w:r>
        <w:t xml:space="preserve">The Bridge is a stopgap. It is separate from the CMS BALANCE Model — a broader five-year experiment the administration shelved — and is designed to carry coverage until a longer-term arrangement can take shape, with Medicare footing the bill on its own rather than routing it through private insurers.</w:t>
      </w:r>
    </w:p>
    <w:p>
      <w:pPr>
        <w:pStyle w:val="BodyText"/>
      </w:pPr>
      <w:r>
        <w:rPr>
          <w:b/>
          <w:bCs/>
        </w:rPr>
        <w:t xml:space="preserve">References</w:t>
      </w:r>
    </w:p>
    <w:p>
      <w:pPr>
        <w:pStyle w:val="BodyText"/>
      </w:pPr>
      <w:r>
        <w:t xml:space="preserve">[29] Centers for Medicare &amp; Medicaid Services. (2026, July 1). Medicare GLP-1 Bridge. CMS.gov. https://www.cms.gov/medicare/coverage/prescription-drug-coverage/medicare-glp-1-bridge</w:t>
      </w:r>
      <w:r>
        <w:t xml:space="preserve"> </w:t>
      </w:r>
      <w:r>
        <w:t xml:space="preserve">[30] AARP. (2026, July 1). Medicare GLP-1 weight-loss copay program. AARP. https://www.aarp.org/medicare/glp1-weight-loss-copay-program/</w:t>
      </w:r>
      <w:r>
        <w:t xml:space="preserve"> </w:t>
      </w:r>
      <w:r>
        <w:t xml:space="preserve">[31] KFF. (2026, July 1). What to know about the BALANCE Model for GLP-1s in Medicare and Medicaid. KFF. https://www.kff.org/medicare/what-to-know-about-the-balance-model-for-glp-1s-in-medicare-and-medicaid/</w:t>
      </w:r>
    </w:p>
    <w:p>
      <w:r>
        <w:pict>
          <v:rect style="width:0;height:1.5pt" o:hralign="center" o:hrstd="t" o:hr="t"/>
        </w:pict>
      </w:r>
    </w:p>
    <w:bookmarkEnd w:id="21"/>
    <w:bookmarkStart w:id="22" w:name="Xf6368b3ff2890965c77ff34f51bd63a5942d631"/>
    <w:p>
      <w:pPr>
        <w:pStyle w:val="Heading3"/>
      </w:pPr>
      <w:r>
        <w:t xml:space="preserve">Heat dome grips central and eastern US, with 102 million under extreme heat warnings</w:t>
      </w:r>
    </w:p>
    <w:p>
      <w:pPr>
        <w:pStyle w:val="FirstParagraph"/>
      </w:pPr>
      <w:r>
        <w:t xml:space="preserve">A heat dome settled over the central and eastern US on July 1, placing more than 102 million Americans under extreme heat warnings, watches, or advisories. NOAA forecast a</w:t>
      </w:r>
      <w:r>
        <w:t xml:space="preserve"> </w:t>
      </w:r>
      <w:r>
        <w:t xml:space="preserve">“major or extreme”</w:t>
      </w:r>
      <w:r>
        <w:t xml:space="preserve"> </w:t>
      </w:r>
      <w:r>
        <w:t xml:space="preserve">heat-impact risk for about 220 million Americans stretching from late June into early July, with heat indices reaching 105–115°F across the Midwest and East Coast — up to 109°F in New York City and 111°F in Boston and southern New England.</w:t>
      </w:r>
    </w:p>
    <w:p>
      <w:pPr>
        <w:pStyle w:val="BodyText"/>
      </w:pPr>
      <w:r>
        <w:t xml:space="preserve">The timing collides with the 2026 FIFA World Cup. Open-air venues in the East — Toronto, Kansas City, New Jersey, and Philadelphia — sit directly under the dome, and FIFA mandates three-minute cooling breaks midway through each half to protect players regardless of temperature. The heat also threatened July 4 celebrations across the affected region.</w:t>
      </w:r>
    </w:p>
    <w:p>
      <w:pPr>
        <w:pStyle w:val="BodyText"/>
      </w:pPr>
      <w:r>
        <w:t xml:space="preserve">The event’s scale is the story: forecasters described a heat wave of a severity not seen every year, with temperatures in parts of the eastern US positioned to break records that had stood for over a decade.</w:t>
      </w:r>
    </w:p>
    <w:p>
      <w:pPr>
        <w:pStyle w:val="BodyText"/>
      </w:pPr>
      <w:r>
        <w:rPr>
          <w:b/>
          <w:bCs/>
        </w:rPr>
        <w:t xml:space="preserve">References</w:t>
      </w:r>
    </w:p>
    <w:p>
      <w:pPr>
        <w:pStyle w:val="BodyText"/>
      </w:pPr>
      <w:r>
        <w:t xml:space="preserve">[32] Inside World Football. (2026, July 1). Heat dome set to raise World Cup temperatures to 100°F. Inside World Football. https://www.insideworldfootball.com/2026/07/01/heat-dome-set-to-raise-world-cup-temperatures-to-100of/</w:t>
      </w:r>
      <w:r>
        <w:t xml:space="preserve"> </w:t>
      </w:r>
      <w:r>
        <w:t xml:space="preserve">[33] AccuWeather. (2026, July 1). Heat dome to bring 90 to 100 degree temperatures to 200 million in US from late June to early July. AccuWeather. https://www.accuweather.com/en/weather-forecasts/heat-dome-to-bring-90-to-100-degree-temperatures-to-200-million-in-us-from-late-june-to-early-july/1905879</w:t>
      </w:r>
      <w:r>
        <w:t xml:space="preserve"> </w:t>
      </w:r>
      <w:r>
        <w:t xml:space="preserve">[34] NBC Sports Philadelphia. (2026, July 1). A heat dome will engulf World Cup games in the eastern U.S. NBC Sports Philadelphia. https://www.nbcsportsphiladelphia.com/world-cup/heat-dome-engulf-world-cup-games-eastern-us/739897/</w:t>
      </w:r>
    </w:p>
    <w:p>
      <w:r>
        <w:pict>
          <v:rect style="width:0;height:1.5pt" o:hralign="center" o:hrstd="t" o:hr="t"/>
        </w:pict>
      </w:r>
    </w:p>
    <w:bookmarkEnd w:id="22"/>
    <w:bookmarkEnd w:id="23"/>
    <w:bookmarkStart w:id="25" w:name="corporate-ipo-ma"/>
    <w:p>
      <w:pPr>
        <w:pStyle w:val="Heading2"/>
      </w:pPr>
      <w:r>
        <w:t xml:space="preserve">5. Corporate IPO &amp; M&amp;A</w:t>
      </w:r>
    </w:p>
    <w:bookmarkStart w:id="24" w:name="Xf93e0469709a653e48ca565c85f81f31d565626"/>
    <w:p>
      <w:pPr>
        <w:pStyle w:val="Heading3"/>
      </w:pPr>
      <w:r>
        <w:t xml:space="preserve">Lime prices $174M IPO at $25 a share, debuts on Nasdaq under</w:t>
      </w:r>
      <w:r>
        <w:t xml:space="preserve"> </w:t>
      </w:r>
      <w:r>
        <w:t xml:space="preserve">“LIME”</w:t>
      </w:r>
    </w:p>
    <w:p>
      <w:pPr>
        <w:pStyle w:val="FirstParagraph"/>
      </w:pPr>
      <w:r>
        <w:t xml:space="preserve">Lime, the Uber-backed shared-micromobility operator formally known as Neutron Holdings, priced its IPO at $25.00 a share — the midpoint of a $24–$26 range — on June 30, and began trading on the Nasdaq on July 1 under the ticker</w:t>
      </w:r>
      <w:r>
        <w:t xml:space="preserve"> </w:t>
      </w:r>
      <w:r>
        <w:t xml:space="preserve">“LIME.”</w:t>
      </w:r>
      <w:r>
        <w:t xml:space="preserve"> </w:t>
      </w:r>
      <w:r>
        <w:t xml:space="preserve">The offering comprised 6.68 million company shares plus 276,731 shares from executives including CEO Wayne Ting, raising about $174 million and implying a valuation of $1.66–$1.8 billion. Uber, which holds more than 10% of Lime, served as anchor investor.</w:t>
      </w:r>
    </w:p>
    <w:p>
      <w:pPr>
        <w:pStyle w:val="BodyText"/>
      </w:pPr>
      <w:r>
        <w:t xml:space="preserve">Founded in 2017, Lime runs e-bikes and e-scooters across roughly 230 cities in 29 countries and describes itself as the largest global shared-micromobility business, with more than 1 billion rides across five continents. It posted revenue of $928 million for the 12 months ending March 31, 2026. The path to profitability remains unfinished: net loss widened to $59.3 million in 2025 from $33.9 million in 2024.</w:t>
      </w:r>
    </w:p>
    <w:p>
      <w:pPr>
        <w:pStyle w:val="BodyText"/>
      </w:pPr>
      <w:r>
        <w:t xml:space="preserve">The listing is the first major shared-micromobility debut since Bird’s failed SPAC, a comparison that hangs over the sector after Bird’s turbulent public-market run ended in bankruptcy. Lime’s arrival tests whether a scaled, Uber-linked operator can succeed where the last pure-play e-scooter company could not.</w:t>
      </w:r>
    </w:p>
    <w:p>
      <w:pPr>
        <w:pStyle w:val="BodyText"/>
      </w:pPr>
      <w:r>
        <w:rPr>
          <w:b/>
          <w:bCs/>
        </w:rPr>
        <w:t xml:space="preserve">References</w:t>
      </w:r>
    </w:p>
    <w:p>
      <w:pPr>
        <w:pStyle w:val="BodyText"/>
      </w:pPr>
      <w:r>
        <w:t xml:space="preserve">[35] Stanciuc, A. (2026, July 1). Lime IPO priced at $25, debuts on Nasdaq. The Next Web. https://thenextweb.com/news/lime-ipo-priced-25-dollars-nasdaq</w:t>
      </w:r>
      <w:r>
        <w:t xml:space="preserve"> </w:t>
      </w:r>
      <w:r>
        <w:t xml:space="preserve">[36] Bloomberg. (2026, July 1). Uber-backed bike firm Lime, investors raise $174 million in IPO. Bloomberg. https://www.bloomberg.com/news/articles/2026-07-01/uber-backed-lime-investors-said-to-price-ipo-at-25-per-share</w:t>
      </w:r>
      <w:r>
        <w:t xml:space="preserve"> </w:t>
      </w:r>
      <w:r>
        <w:t xml:space="preserve">[37] Renaissance Capital. (2026, July 1). Lime (LIME) IPO profile: operates an e-scooter and e-bike rental platform across 230 cities globally. Renaissance Capital. https://www.renaissancecapital.com/Profile/LIME/Lime/IPO</w:t>
      </w:r>
      <w:r>
        <w:t xml:space="preserve"> </w:t>
      </w:r>
      <w:r>
        <w:t xml:space="preserve">[38] Lime. (2026, June 30). Lime announces pricing of initial public offering. Business Wire. https://www.businesswire.com/news/home/20260630995454/en/Lime-Announces-Pricing-of-Initial-Public-Offering</w:t>
      </w:r>
    </w:p>
    <w:p>
      <w:pPr>
        <w:pStyle w:val="BodyText"/>
      </w:pPr>
      <w:r>
        <w:rPr>
          <w:i/>
          <w:iCs/>
        </w:rPr>
        <w:t xml:space="preserve">Note: only 1 story met T1-T4 standards for this category today.</w:t>
      </w:r>
    </w:p>
    <w:p>
      <w:r>
        <w:pict>
          <v:rect style="width:0;height:1.5pt" o:hralign="center" o:hrstd="t" o:hr="t"/>
        </w:pict>
      </w:r>
    </w:p>
    <w:bookmarkEnd w:id="24"/>
    <w:bookmarkEnd w:id="25"/>
    <w:bookmarkStart w:id="26" w:name="other-notable-events"/>
    <w:p>
      <w:pPr>
        <w:pStyle w:val="Heading2"/>
      </w:pPr>
      <w:r>
        <w:t xml:space="preserve">6. Other Notable Events</w:t>
      </w:r>
    </w:p>
    <w:p>
      <w:pPr>
        <w:pStyle w:val="FirstParagraph"/>
      </w:pPr>
      <w:r>
        <w:rPr>
          <w:i/>
          <w:iCs/>
        </w:rPr>
        <w:t xml:space="preserve">Note: only 0 stories met T1-T4 standards for this category today.</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2026-07-01T13:06:46Z</dcterms:created>
  <dcterms:modified xsi:type="dcterms:W3CDTF">2026-07-01T13:06:46Z</dcterms:modified>
</cp:coreProperties>
</file>

<file path=docProps/custom.xml><?xml version="1.0" encoding="utf-8"?>
<Properties xmlns="http://schemas.openxmlformats.org/officeDocument/2006/custom-properties" xmlns:vt="http://schemas.openxmlformats.org/officeDocument/2006/docPropsVTypes"/>
</file>