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美国每日热点新闻-2026年6月4日"/>
    <w:p>
      <w:pPr>
        <w:pStyle w:val="Heading1"/>
      </w:pPr>
      <w:r>
        <w:rPr>
          <w:rFonts w:hint="eastAsia"/>
        </w:rPr>
        <w:t xml:space="preserve">美国每日热点新闻</w:t>
      </w:r>
      <w:r>
        <w:t xml:space="preserve"> — </w:t>
      </w:r>
      <w:r>
        <w:rPr>
          <w:rFonts w:hint="eastAsia"/>
        </w:rPr>
        <w:t xml:space="preserve">2026年6月4日</w:t>
      </w:r>
    </w:p>
    <w:bookmarkStart w:id="12" w:name="一经济与市场"/>
    <w:p>
      <w:pPr>
        <w:pStyle w:val="Heading2"/>
      </w:pPr>
      <w:r>
        <w:rPr>
          <w:rFonts w:hint="eastAsia"/>
        </w:rPr>
        <w:t xml:space="preserve">一、经济与市场</w:t>
      </w:r>
    </w:p>
    <w:bookmarkStart w:id="9" w:name="美联储副主席鲍曼出席众议院金融服务委员会详述银行监管改革"/>
    <w:p>
      <w:pPr>
        <w:pStyle w:val="Heading3"/>
      </w:pPr>
      <w:r>
        <w:rPr>
          <w:rFonts w:hint="eastAsia"/>
        </w:rPr>
        <w:t xml:space="preserve">美联储副主席鲍曼出席众议院金融服务委员会，详述银行监管改革</w:t>
      </w:r>
    </w:p>
    <w:p>
      <w:pPr>
        <w:pStyle w:val="FirstParagraph"/>
      </w:pPr>
      <w:r>
        <w:rPr>
          <w:rFonts w:hint="eastAsia"/>
        </w:rPr>
        <w:t xml:space="preserve">美联储负责监管事务的副主席米歇尔·W·鲍曼（Michelle</w:t>
      </w:r>
      <w:r>
        <w:t xml:space="preserve"> W. </w:t>
      </w:r>
      <w:r>
        <w:rPr>
          <w:rFonts w:hint="eastAsia"/>
        </w:rPr>
        <w:t xml:space="preserve">Bowman）于2026年6月4日上午10:00（东部时间）在众议院金融服务委员会（Committee</w:t>
      </w:r>
      <w:r>
        <w:t xml:space="preserve"> on Financial Services, U.S. House of </w:t>
      </w:r>
      <w:r>
        <w:rPr>
          <w:rFonts w:hint="eastAsia"/>
        </w:rPr>
        <w:t xml:space="preserve">Representatives）举行的“审慎监管机构监督听证会”（Hearing</w:t>
      </w:r>
      <w:r>
        <w:t xml:space="preserve"> on Oversight of Prudential </w:t>
      </w:r>
      <w:r>
        <w:rPr>
          <w:rFonts w:hint="eastAsia"/>
        </w:rPr>
        <w:t xml:space="preserve">Regulators）上作证，系统披露自委员会上次听证以来已实施的四项重大监管改革</w:t>
      </w:r>
      <w:r>
        <w:t xml:space="preserve"> [1]。</w:t>
      </w:r>
    </w:p>
    <w:p>
      <w:pPr>
        <w:pStyle w:val="BodyText"/>
      </w:pPr>
      <w:r>
        <w:rPr>
          <w:rFonts w:hint="eastAsia"/>
        </w:rPr>
        <w:t xml:space="preserve">鲍曼指出，联邦银行监管机构已最终敲定对社区银行杠杆率（Community</w:t>
      </w:r>
      <w:r>
        <w:t xml:space="preserve"> Bank Leverage Ratio, </w:t>
      </w:r>
      <w:r>
        <w:rPr>
          <w:rFonts w:hint="eastAsia"/>
        </w:rPr>
        <w:t xml:space="preserve">CBLR）框架的改革，将该比例校准至8%，并将合规宽限期由两个季度延长至四个季度</w:t>
      </w:r>
      <w:r>
        <w:t xml:space="preserve"> </w:t>
      </w:r>
      <w:r>
        <w:rPr>
          <w:rFonts w:hint="eastAsia"/>
        </w:rPr>
        <w:t xml:space="preserve">[1]。这一变化与2019年初设CBLR时所采用的9%上限相比，是2018年《经济增长、监管放松与消费者保护法》（EGRRCPA）第201条所允许的下限，预计将显著扩大可纳入简化资本框架的社区银行范围</w:t>
      </w:r>
      <w:r>
        <w:t xml:space="preserve"> </w:t>
      </w:r>
      <w:r>
        <w:rPr>
          <w:rFonts w:hint="eastAsia"/>
        </w:rPr>
        <w:t xml:space="preserve">[2]。她同时介绍了2026年3月发布的资本框架现代化提案，以及自1979年以来CAMELS评级框架的首次重大修订</w:t>
      </w:r>
      <w:r>
        <w:t xml:space="preserve"> [1]。</w:t>
      </w:r>
    </w:p>
    <w:p>
      <w:pPr>
        <w:pStyle w:val="BodyText"/>
      </w:pPr>
      <w:r>
        <w:rPr>
          <w:rFonts w:hint="eastAsia"/>
        </w:rPr>
        <w:t xml:space="preserve">鲍曼以银行业在住房融资中的份额变化警示监管套利风险——银行发起的抵押贷款占新增贷款的比例已从2008年的60%降至2023年的35%</w:t>
      </w:r>
      <w:r>
        <w:t xml:space="preserve"> </w:t>
      </w:r>
      <w:r>
        <w:rPr>
          <w:rFonts w:hint="eastAsia"/>
        </w:rPr>
        <w:t xml:space="preserve">[1]。她强调：“适当校准监管与监督要求既能强化金融稳定，也能促进经济增长。”</w:t>
      </w:r>
      <w:r>
        <w:t xml:space="preserve"> [1]</w:t>
      </w:r>
    </w:p>
    <w:p>
      <w:pPr>
        <w:pStyle w:val="BodyText"/>
      </w:pPr>
      <w:r>
        <w:rPr>
          <w:b/>
          <w:bCs/>
        </w:rPr>
        <w:t xml:space="preserve">References</w:t>
      </w:r>
    </w:p>
    <w:p>
      <w:pPr>
        <w:pStyle w:val="BodyText"/>
      </w:pPr>
      <w:r>
        <w:t xml:space="preserve">[1] Bowman, M. W. (2026, June 4).</w:t>
      </w:r>
      <w:r>
        <w:t xml:space="preserve"> </w:t>
      </w:r>
      <w:r>
        <w:rPr>
          <w:i/>
          <w:iCs/>
        </w:rPr>
        <w:t xml:space="preserve">Testimony on bank supervision before the U.S. House Committee on Financial Services</w:t>
      </w:r>
      <w:r>
        <w:t xml:space="preserve">. Board of Governors of the Federal Reserve System. https://www.federalreserve.gov/newsevents/testimony/bowman20260604a.htm</w:t>
      </w:r>
    </w:p>
    <w:p>
      <w:pPr>
        <w:pStyle w:val="BodyText"/>
      </w:pPr>
      <w:r>
        <w:t xml:space="preserve">[2] American Bankers Association. (2026, April).</w:t>
      </w:r>
      <w:r>
        <w:t xml:space="preserve"> </w:t>
      </w:r>
      <w:r>
        <w:rPr>
          <w:i/>
          <w:iCs/>
        </w:rPr>
        <w:t xml:space="preserve">Agencies finalize changes to community bank leverage ratio</w:t>
      </w:r>
      <w:r>
        <w:t xml:space="preserve">. ABA Banking Journal. https://bankingjournal.aba.com/2026/04/agencies-finalize-changes-to-community-bank-leverage-ratio/</w:t>
      </w:r>
    </w:p>
    <w:p>
      <w:r>
        <w:pict>
          <v:rect style="width:0;height:1.5pt" o:hralign="center" o:hrstd="t" o:hr="t"/>
        </w:pict>
      </w:r>
    </w:p>
    <w:bookmarkEnd w:id="9"/>
    <w:bookmarkStart w:id="10" w:name="X8ea1d47892f7951d55783e06131f3d9edbd4ae7"/>
    <w:p>
      <w:pPr>
        <w:pStyle w:val="Heading3"/>
      </w:pPr>
      <w:r>
        <w:rPr>
          <w:rFonts w:hint="eastAsia"/>
        </w:rPr>
        <w:t xml:space="preserve">劳工统计局发布2026年一季度生产率修订数据，2025年四季度单位劳动成本上修至4.6%</w:t>
      </w:r>
    </w:p>
    <w:p>
      <w:pPr>
        <w:pStyle w:val="FirstParagraph"/>
      </w:pPr>
      <w:r>
        <w:rPr>
          <w:rFonts w:hint="eastAsia"/>
        </w:rPr>
        <w:t xml:space="preserve">美国劳工统计局（Bureau</w:t>
      </w:r>
      <w:r>
        <w:t xml:space="preserve"> of Labor Statistics, </w:t>
      </w:r>
      <w:r>
        <w:rPr>
          <w:rFonts w:hint="eastAsia"/>
        </w:rPr>
        <w:t xml:space="preserve">BLS）于2026年6月4日上午8:30（东部时间）发布2026年一季度生产率与成本（Productivity</w:t>
      </w:r>
      <w:r>
        <w:t xml:space="preserve"> and </w:t>
      </w:r>
      <w:r>
        <w:rPr>
          <w:rFonts w:hint="eastAsia"/>
        </w:rPr>
        <w:t xml:space="preserve">Costs）修订报告</w:t>
      </w:r>
      <w:r>
        <w:t xml:space="preserve"> </w:t>
      </w:r>
      <w:r>
        <w:rPr>
          <w:rFonts w:hint="eastAsia"/>
        </w:rPr>
        <w:t xml:space="preserve">[3]。报告显示，非农商业部门一季度劳动生产率按经季节调整年率计算上升0.8%，其中产出增长1.5%，工时增长0.7%；单位劳动成本上升2.3%，反映时薪报酬上涨3.1%与生产率提升0.8%的差额</w:t>
      </w:r>
      <w:r>
        <w:t xml:space="preserve"> [3]。</w:t>
      </w:r>
    </w:p>
    <w:p>
      <w:pPr>
        <w:pStyle w:val="BodyText"/>
      </w:pPr>
      <w:r>
        <w:rPr>
          <w:rFonts w:hint="eastAsia"/>
        </w:rPr>
        <w:t xml:space="preserve">从年度同比看，非农商业部门一季度劳动生产率较2025年同期上升2.9%</w:t>
      </w:r>
      <w:r>
        <w:t xml:space="preserve"> </w:t>
      </w:r>
      <w:r>
        <w:rPr>
          <w:rFonts w:hint="eastAsia"/>
        </w:rPr>
        <w:t xml:space="preserve">[3]。制造业部门表现更为强劲，一季度劳动生产率上升3.6%，产出增长3.3%，工时下降0.4%，显示自动化与AI驱动的资本深化正在加速</w:t>
      </w:r>
      <w:r>
        <w:t xml:space="preserve"> [3]。</w:t>
      </w:r>
    </w:p>
    <w:p>
      <w:pPr>
        <w:pStyle w:val="BodyText"/>
      </w:pPr>
      <w:r>
        <w:rPr>
          <w:rFonts w:hint="eastAsia"/>
        </w:rPr>
        <w:t xml:space="preserve">本次修订中最受关注的是对2025年四季度数据的回顾：非农商业部门单位劳动成本由此前公布的4.4%上修0.2个百分点至4.6%；非农商业生产率由1.8%下修至1.6%；制造业生产率则下修0.7个百分点，由原降幅扩大至下降3.2%</w:t>
      </w:r>
      <w:r>
        <w:t xml:space="preserve"> </w:t>
      </w:r>
      <w:r>
        <w:rPr>
          <w:rFonts w:hint="eastAsia"/>
        </w:rPr>
        <w:t xml:space="preserve">[3][4]。在美联储6月16—17日联邦公开市场委员会（FOMC）会议召开前两周，单位劳动成本的上修进一步强化了“工资—通胀”传导路径仍具粘性的解读，对降息节奏构成新的约束</w:t>
      </w:r>
      <w:r>
        <w:t xml:space="preserve"> </w:t>
      </w:r>
      <w:r>
        <w:rPr>
          <w:rFonts w:hint="eastAsia"/>
        </w:rPr>
        <w:t xml:space="preserve">[3]。从BLS自身的统计日历看，本次为6月4日发布的“Revised”版本，对应2026年5月发布的“Preliminary”版本——后者首次披露当季产出与工时增速，因此修订幅度本身已成为市场判断FOMC对二季度经济动能定调的辅助指标</w:t>
      </w:r>
      <w:r>
        <w:t xml:space="preserve"> [5]。</w:t>
      </w:r>
    </w:p>
    <w:p>
      <w:pPr>
        <w:pStyle w:val="BodyText"/>
      </w:pPr>
      <w:r>
        <w:rPr>
          <w:b/>
          <w:bCs/>
        </w:rPr>
        <w:t xml:space="preserve">References</w:t>
      </w:r>
    </w:p>
    <w:p>
      <w:pPr>
        <w:pStyle w:val="BodyText"/>
      </w:pPr>
      <w:r>
        <w:t xml:space="preserve">[3] Bureau of Labor Statistics. (2026, June 4).</w:t>
      </w:r>
      <w:r>
        <w:t xml:space="preserve"> </w:t>
      </w:r>
      <w:r>
        <w:rPr>
          <w:i/>
          <w:iCs/>
        </w:rPr>
        <w:t xml:space="preserve">Productivity and costs, first quarter 2026, revised</w:t>
      </w:r>
      <w:r>
        <w:t xml:space="preserve">. U.S. Department of Labor. https://www.bls.gov/news.release/prod2.nr0.htm</w:t>
      </w:r>
    </w:p>
    <w:p>
      <w:pPr>
        <w:pStyle w:val="BodyText"/>
      </w:pPr>
      <w:r>
        <w:t xml:space="preserve">[4] Bureau of Labor Statistics. (2026, May).</w:t>
      </w:r>
      <w:r>
        <w:t xml:space="preserve"> </w:t>
      </w:r>
      <w:r>
        <w:rPr>
          <w:i/>
          <w:iCs/>
        </w:rPr>
        <w:t xml:space="preserve">Productivity and costs news release archive — 2026 Q01 preliminary</w:t>
      </w:r>
      <w:r>
        <w:t xml:space="preserve">. U.S. Department of Labor. https://www.bls.gov/news.release/archives/prod2_05072026.htm</w:t>
      </w:r>
    </w:p>
    <w:p>
      <w:pPr>
        <w:pStyle w:val="BodyText"/>
      </w:pPr>
      <w:r>
        <w:t xml:space="preserve">[5] Bureau of Labor Statistics. (2026).</w:t>
      </w:r>
      <w:r>
        <w:t xml:space="preserve"> </w:t>
      </w:r>
      <w:r>
        <w:rPr>
          <w:i/>
          <w:iCs/>
        </w:rPr>
        <w:t xml:space="preserve">Schedule of releases and revisions for productivity program</w:t>
      </w:r>
      <w:r>
        <w:t xml:space="preserve">. U.S. Department of Labor. https://www.bls.gov/productivity/schedule-releases.htm</w:t>
      </w:r>
    </w:p>
    <w:p>
      <w:r>
        <w:pict>
          <v:rect style="width:0;height:1.5pt" o:hralign="center" o:hrstd="t" o:hr="t"/>
        </w:pict>
      </w:r>
    </w:p>
    <w:bookmarkEnd w:id="10"/>
    <w:bookmarkStart w:id="11" w:name="美股下挫博通重挫14伊朗地缘风险共同压制风险偏好"/>
    <w:p>
      <w:pPr>
        <w:pStyle w:val="Heading3"/>
      </w:pPr>
      <w:r>
        <w:rPr>
          <w:rFonts w:hint="eastAsia"/>
        </w:rPr>
        <w:t xml:space="preserve">美股下挫：博通重挫14%、伊朗地缘风险共同压制风险偏好</w:t>
      </w:r>
    </w:p>
    <w:p>
      <w:pPr>
        <w:pStyle w:val="FirstParagraph"/>
      </w:pPr>
      <w:r>
        <w:rPr>
          <w:rFonts w:hint="eastAsia"/>
        </w:rPr>
        <w:t xml:space="preserve">2026年6月4日，美国三大股指全线收跌：道琼斯工业平均指数下跌532点（–1.04%），收报50,776点；标普500指数下跌0.74%；纳斯达克综合指数下跌0.89%</w:t>
      </w:r>
      <w:r>
        <w:t xml:space="preserve"> </w:t>
      </w:r>
      <w:r>
        <w:rPr>
          <w:rFonts w:hint="eastAsia"/>
        </w:rPr>
        <w:t xml:space="preserve">[6]。标普500的11个行业中有6个收跌，信息技术与通信服务板块跌幅居前</w:t>
      </w:r>
      <w:r>
        <w:t xml:space="preserve"> [6]。</w:t>
      </w:r>
    </w:p>
    <w:p>
      <w:pPr>
        <w:pStyle w:val="BodyText"/>
      </w:pPr>
      <w:r>
        <w:rPr>
          <w:rFonts w:hint="eastAsia"/>
        </w:rPr>
        <w:t xml:space="preserve">科技板块成为本日核心拖累。博通（Broadcom,</w:t>
      </w:r>
      <w:r>
        <w:t xml:space="preserve"> NASDAQ: </w:t>
      </w:r>
      <w:r>
        <w:rPr>
          <w:rFonts w:hint="eastAsia"/>
        </w:rPr>
        <w:t xml:space="preserve">AVGO）单日重挫近14%，原因是该公司于6月3日盘后公布的2026财年二季度业绩中AI相关收入指引未达市场预期</w:t>
      </w:r>
      <w:r>
        <w:t xml:space="preserve"> </w:t>
      </w:r>
      <w:r>
        <w:rPr>
          <w:rFonts w:hint="eastAsia"/>
        </w:rPr>
        <w:t xml:space="preserve">[6]。CrowdStrike（NASDAQ:</w:t>
      </w:r>
      <w:r>
        <w:t xml:space="preserve"> </w:t>
      </w:r>
      <w:r>
        <w:rPr>
          <w:rFonts w:hint="eastAsia"/>
        </w:rPr>
        <w:t xml:space="preserve">CRWD）跟跌逾11%，反映出在估值高企背景下市场对网络安全板块审慎指引的低容忍度</w:t>
      </w:r>
      <w:r>
        <w:t xml:space="preserve"> [6]。</w:t>
      </w:r>
    </w:p>
    <w:p>
      <w:pPr>
        <w:pStyle w:val="BodyText"/>
      </w:pPr>
      <w:r>
        <w:rPr>
          <w:rFonts w:hint="eastAsia"/>
        </w:rPr>
        <w:t xml:space="preserve">地缘政治风险叠加施压。以色列国防部长伊斯雷尔·卡茨（Israel</w:t>
      </w:r>
      <w:r>
        <w:t xml:space="preserve"> </w:t>
      </w:r>
      <w:r>
        <w:rPr>
          <w:rFonts w:hint="eastAsia"/>
        </w:rPr>
        <w:t xml:space="preserve">Katz）于6月4日发表声明，强调以色列保留对黎巴嫩“行动自由”；伊朗最高领袖哈梅内伊（Khamenei）则宣称伊朗已“成为自由国家的骄傲之源”</w:t>
      </w:r>
      <w:r>
        <w:t xml:space="preserve"> </w:t>
      </w:r>
      <w:r>
        <w:rPr>
          <w:rFonts w:hint="eastAsia"/>
        </w:rPr>
        <w:t xml:space="preserve">[6]。在此同时，由共和党控制的美国众议院于6月3日以215票对208票通过战争权力决议案，四名共和党议员倒戈，进一步放大了政策不确定性</w:t>
      </w:r>
      <w:r>
        <w:t xml:space="preserve"> </w:t>
      </w:r>
      <w:r>
        <w:rPr>
          <w:rFonts w:hint="eastAsia"/>
        </w:rPr>
        <w:t xml:space="preserve">[6]。市场参与者普遍将本次回调解读为风险偏好阶段性切换</w:t>
      </w:r>
      <w:r>
        <w:t xml:space="preserve"> [7]。</w:t>
      </w:r>
    </w:p>
    <w:p>
      <w:pPr>
        <w:pStyle w:val="BodyText"/>
      </w:pPr>
      <w:r>
        <w:rPr>
          <w:b/>
          <w:bCs/>
        </w:rPr>
        <w:t xml:space="preserve">References</w:t>
      </w:r>
    </w:p>
    <w:p>
      <w:pPr>
        <w:pStyle w:val="BodyText"/>
      </w:pPr>
      <w:r>
        <w:t xml:space="preserve">[6] CNBC. (2026, June 4).</w:t>
      </w:r>
      <w:r>
        <w:t xml:space="preserve"> </w:t>
      </w:r>
      <w:r>
        <w:rPr>
          <w:i/>
          <w:iCs/>
        </w:rPr>
        <w:t xml:space="preserve">CNBC Daily Open: Stock markets sense a shift</w:t>
      </w:r>
      <w:r>
        <w:t xml:space="preserve">. CNBC. https://www.cnbc.com/2026/06/04/cnbc-daily-open-stock-markets-sense-a-shift.html</w:t>
      </w:r>
    </w:p>
    <w:p>
      <w:pPr>
        <w:pStyle w:val="BodyText"/>
      </w:pPr>
      <w:r>
        <w:t xml:space="preserve">[7] TheStreet. (2026, June 4).</w:t>
      </w:r>
      <w:r>
        <w:t xml:space="preserve"> </w:t>
      </w:r>
      <w:r>
        <w:rPr>
          <w:i/>
          <w:iCs/>
        </w:rPr>
        <w:t xml:space="preserve">Stock market today June 4 2026: Nasdaq futures slide amid Iran war concerns</w:t>
      </w:r>
      <w:r>
        <w:t xml:space="preserve">. TheStreet. https://www.thestreet.com/stock-market-today/stock-market-today-june-4-2026-nasdaq-futures-slide-amid-iran-war-concerns</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众议院通过伊朗战争权力决议案四名共和党议员倒戈"/>
    <w:p>
      <w:pPr>
        <w:pStyle w:val="Heading3"/>
      </w:pPr>
      <w:r>
        <w:rPr>
          <w:rFonts w:hint="eastAsia"/>
        </w:rPr>
        <w:t xml:space="preserve">众议院通过伊朗战争权力决议案，四名共和党议员倒戈</w:t>
      </w:r>
    </w:p>
    <w:p>
      <w:pPr>
        <w:pStyle w:val="FirstParagraph"/>
      </w:pPr>
      <w:r>
        <w:rPr>
          <w:rFonts w:hint="eastAsia"/>
        </w:rPr>
        <w:t xml:space="preserve">美国众议院于2026年6月3日以215票对208票通过一项战争权力决议案，要求总统终止对伊朗的军事行动，相关报道在6月4日由半岛电视台等媒体进行深度分析</w:t>
      </w:r>
      <w:r>
        <w:t xml:space="preserve"> </w:t>
      </w:r>
      <w:r>
        <w:rPr>
          <w:rFonts w:hint="eastAsia"/>
        </w:rPr>
        <w:t xml:space="preserve">[8]。这是众议院针对当前对伊朗冲突的第四次表决，亦是2026年以来反对派议员首次成功凝聚出跨党派多数</w:t>
      </w:r>
      <w:r>
        <w:t xml:space="preserve"> [8]。</w:t>
      </w:r>
    </w:p>
    <w:p>
      <w:pPr>
        <w:pStyle w:val="BodyText"/>
      </w:pPr>
      <w:r>
        <w:rPr>
          <w:rFonts w:hint="eastAsia"/>
        </w:rPr>
        <w:t xml:space="preserve">四名共和党议员打破党纪投下赞成票：汤姆·巴雷特（Tom</w:t>
      </w:r>
      <w:r>
        <w:t xml:space="preserve"> </w:t>
      </w:r>
      <w:r>
        <w:rPr>
          <w:rFonts w:hint="eastAsia"/>
        </w:rPr>
        <w:t xml:space="preserve">Barrett，密歇根州）、沃伦·戴维森（Warren</w:t>
      </w:r>
      <w:r>
        <w:t xml:space="preserve"> </w:t>
      </w:r>
      <w:r>
        <w:rPr>
          <w:rFonts w:hint="eastAsia"/>
        </w:rPr>
        <w:t xml:space="preserve">Davidson，俄亥俄州）、托马斯·马西（Thomas</w:t>
      </w:r>
      <w:r>
        <w:t xml:space="preserve"> </w:t>
      </w:r>
      <w:r>
        <w:rPr>
          <w:rFonts w:hint="eastAsia"/>
        </w:rPr>
        <w:t xml:space="preserve">Massie，肯塔基州）与布莱恩·菲茨帕特里克（Brian</w:t>
      </w:r>
      <w:r>
        <w:t xml:space="preserve"> </w:t>
      </w:r>
      <w:r>
        <w:rPr>
          <w:rFonts w:hint="eastAsia"/>
        </w:rPr>
        <w:t xml:space="preserve">Fitzpatrick，宾夕法尼亚州）</w:t>
      </w:r>
      <w:r>
        <w:t xml:space="preserve"> </w:t>
      </w:r>
      <w:r>
        <w:rPr>
          <w:rFonts w:hint="eastAsia"/>
        </w:rPr>
        <w:t xml:space="preserve">[8]。众议院议长迈克·约翰逊（Mike</w:t>
      </w:r>
      <w:r>
        <w:t xml:space="preserve"> </w:t>
      </w:r>
      <w:r>
        <w:rPr>
          <w:rFonts w:hint="eastAsia"/>
        </w:rPr>
        <w:t xml:space="preserve">Johnson）此前两周曾以程序手段阻止议程付诸表决</w:t>
      </w:r>
      <w:r>
        <w:t xml:space="preserve"> [8]。</w:t>
      </w:r>
    </w:p>
    <w:p>
      <w:pPr>
        <w:pStyle w:val="BodyText"/>
      </w:pPr>
      <w:r>
        <w:rPr>
          <w:rFonts w:hint="eastAsia"/>
        </w:rPr>
        <w:t xml:space="preserve">法律层面争议在于《1973年战争权力法》（War</w:t>
      </w:r>
      <w:r>
        <w:t xml:space="preserve"> Powers Act of </w:t>
      </w:r>
      <w:r>
        <w:rPr>
          <w:rFonts w:hint="eastAsia"/>
        </w:rPr>
        <w:t xml:space="preserve">1973）的适用性。该法要求总统在派兵境外60天内取得国会授权</w:t>
      </w:r>
      <w:r>
        <w:t xml:space="preserve"> </w:t>
      </w:r>
      <w:r>
        <w:rPr>
          <w:rFonts w:hint="eastAsia"/>
        </w:rPr>
        <w:t xml:space="preserve">[8]。批评者认为，自2月28日开启的美以联合行动早已突破4月29日的60天撤军期限</w:t>
      </w:r>
      <w:r>
        <w:t xml:space="preserve"> </w:t>
      </w:r>
      <w:r>
        <w:rPr>
          <w:rFonts w:hint="eastAsia"/>
        </w:rPr>
        <w:t xml:space="preserve">[8]。国务卿马尔科·鲁比奥（Marco</w:t>
      </w:r>
      <w:r>
        <w:t xml:space="preserve"> </w:t>
      </w:r>
      <w:r>
        <w:rPr>
          <w:rFonts w:hint="eastAsia"/>
        </w:rPr>
        <w:t xml:space="preserve">Rubio）声称“（对伊朗的）战争已经结束”，并援引4月8日达成的停火协议作为辩护；新罕布什尔州民主党参议员珍妮·沙欣（Jeanne</w:t>
      </w:r>
      <w:r>
        <w:t xml:space="preserve"> </w:t>
      </w:r>
      <w:r>
        <w:rPr>
          <w:rFonts w:hint="eastAsia"/>
        </w:rPr>
        <w:t xml:space="preserve">Shaheen）则反驳认为冲突仍在持续</w:t>
      </w:r>
      <w:r>
        <w:t xml:space="preserve"> [8]。</w:t>
      </w:r>
    </w:p>
    <w:p>
      <w:pPr>
        <w:pStyle w:val="BodyText"/>
      </w:pPr>
      <w:r>
        <w:rPr>
          <w:rFonts w:hint="eastAsia"/>
        </w:rPr>
        <w:t xml:space="preserve">从历史脉络看，自1973年以来历任总统对战争权力决议的遵循程度普遍有限——从1993年克林顿对波黑空袭、2011年奥巴马介入利比亚到2018年特朗普对叙利亚空袭与2020年击杀苏莱马尼，行政分支多以“非敌对行动”或既有AUMF为由规避国会授权</w:t>
      </w:r>
      <w:r>
        <w:t xml:space="preserve"> </w:t>
      </w:r>
      <w:r>
        <w:rPr>
          <w:rFonts w:hint="eastAsia"/>
        </w:rPr>
        <w:t xml:space="preserve">[9]。此次表决在参议院能否复制仍是未知数，但已显著抬升对伊政策的政治成本。</w:t>
      </w:r>
    </w:p>
    <w:p>
      <w:pPr>
        <w:pStyle w:val="BodyText"/>
      </w:pPr>
      <w:r>
        <w:rPr>
          <w:b/>
          <w:bCs/>
        </w:rPr>
        <w:t xml:space="preserve">References</w:t>
      </w:r>
    </w:p>
    <w:p>
      <w:pPr>
        <w:pStyle w:val="BodyText"/>
      </w:pPr>
      <w:r>
        <w:t xml:space="preserve">[8] Lawal, S. (2026, June 4).</w:t>
      </w:r>
      <w:r>
        <w:t xml:space="preserve"> </w:t>
      </w:r>
      <w:r>
        <w:rPr>
          <w:i/>
          <w:iCs/>
        </w:rPr>
        <w:t xml:space="preserve">US House votes to end Trump’s Iran war: Does it matter?</w:t>
      </w:r>
      <w:r>
        <w:t xml:space="preserve"> </w:t>
      </w:r>
      <w:r>
        <w:t xml:space="preserve">Al Jazeera. https://www.aljazeera.com/news/2026/6/4/us-house-votes-to-end-trumps-iran-war-does-it-matter</w:t>
      </w:r>
    </w:p>
    <w:p>
      <w:pPr>
        <w:pStyle w:val="BodyText"/>
      </w:pPr>
      <w:r>
        <w:t xml:space="preserve">[9] Military Times. (2026, May 1).</w:t>
      </w:r>
      <w:r>
        <w:t xml:space="preserve"> </w:t>
      </w:r>
      <w:r>
        <w:rPr>
          <w:i/>
          <w:iCs/>
        </w:rPr>
        <w:t xml:space="preserve">A history of the War Powers Resolution and what it means for the Iran war</w:t>
      </w:r>
      <w:r>
        <w:t xml:space="preserve">. Military Times. https://www.militarytimes.com/veterans/military-history/2026/05/01/a-history-of-the-war-powers-resolution-and-what-it-means-for-the-iran-war/</w:t>
      </w:r>
    </w:p>
    <w:p>
      <w:r>
        <w:pict>
          <v:rect style="width:0;height:1.5pt" o:hralign="center" o:hrstd="t" o:hr="t"/>
        </w:pict>
      </w:r>
    </w:p>
    <w:bookmarkEnd w:id="13"/>
    <w:bookmarkStart w:id="14" w:name="美伊黎停火名存实亡联合国维和人员在黎巴嫩遭袭身亡"/>
    <w:p>
      <w:pPr>
        <w:pStyle w:val="Heading3"/>
      </w:pPr>
      <w:r>
        <w:rPr>
          <w:rFonts w:hint="eastAsia"/>
        </w:rPr>
        <w:t xml:space="preserve">美—伊—黎停火“名存实亡”：联合国维和人员在黎巴嫩遭袭身亡</w:t>
      </w:r>
    </w:p>
    <w:p>
      <w:pPr>
        <w:pStyle w:val="FirstParagraph"/>
      </w:pPr>
      <w:r>
        <w:rPr>
          <w:rFonts w:hint="eastAsia"/>
        </w:rPr>
        <w:t xml:space="preserve">美国国务院于6月3日夜间宣布的美—伊—黎停火协议在生效后24小时内即遭多起武装事件冲击</w:t>
      </w:r>
      <w:r>
        <w:t xml:space="preserve"> </w:t>
      </w:r>
      <w:r>
        <w:rPr>
          <w:rFonts w:hint="eastAsia"/>
        </w:rPr>
        <w:t xml:space="preserve">[10]。在黎巴嫩东南部马尔贾尤恩（Marjayoun）附近，一名联合国维和人员在一次迫击炮袭击中身亡，另有两人受伤</w:t>
      </w:r>
      <w:r>
        <w:t xml:space="preserve"> </w:t>
      </w:r>
      <w:r>
        <w:rPr>
          <w:rFonts w:hint="eastAsia"/>
        </w:rPr>
        <w:t xml:space="preserve">[10]。以色列国防部长伊斯雷尔·卡茨（Israel</w:t>
      </w:r>
      <w:r>
        <w:t xml:space="preserve"> </w:t>
      </w:r>
      <w:r>
        <w:rPr>
          <w:rFonts w:hint="eastAsia"/>
        </w:rPr>
        <w:t xml:space="preserve">Katz）宣称以色列在黎巴嫩保留“行动自由”，被广泛解读为对停火协议适用范围的实质性收窄</w:t>
      </w:r>
      <w:r>
        <w:t xml:space="preserve"> [10]。</w:t>
      </w:r>
    </w:p>
    <w:p>
      <w:pPr>
        <w:pStyle w:val="BodyText"/>
      </w:pPr>
      <w:r>
        <w:rPr>
          <w:rFonts w:hint="eastAsia"/>
        </w:rPr>
        <w:t xml:space="preserve">伊朗方面的对抗行为同样持续。伊朗无人机袭击了科威特国际机场（Kuwait</w:t>
      </w:r>
      <w:r>
        <w:t xml:space="preserve"> International </w:t>
      </w:r>
      <w:r>
        <w:rPr>
          <w:rFonts w:hint="eastAsia"/>
        </w:rPr>
        <w:t xml:space="preserve">Airport）的一座航站楼，造成一名印度公民死亡、63人受伤</w:t>
      </w:r>
      <w:r>
        <w:t xml:space="preserve"> </w:t>
      </w:r>
      <w:r>
        <w:rPr>
          <w:rFonts w:hint="eastAsia"/>
        </w:rPr>
        <w:t xml:space="preserve">[10]。美国随后对位于霍尔木兹海峡入口的格什姆岛（Qeshm</w:t>
      </w:r>
      <w:r>
        <w:t xml:space="preserve"> </w:t>
      </w:r>
      <w:r>
        <w:rPr>
          <w:rFonts w:hint="eastAsia"/>
        </w:rPr>
        <w:t xml:space="preserve">Island）上的一处伊朗军事地面控制站实施打击</w:t>
      </w:r>
      <w:r>
        <w:t xml:space="preserve"> </w:t>
      </w:r>
      <w:r>
        <w:rPr>
          <w:rFonts w:hint="eastAsia"/>
        </w:rPr>
        <w:t xml:space="preserve">[10]。伊朗外长阿拉格奇（Araghchi）回应称，伊朗“保留报复权利”</w:t>
      </w:r>
      <w:r>
        <w:t xml:space="preserve"> [10]。</w:t>
      </w:r>
    </w:p>
    <w:p>
      <w:pPr>
        <w:pStyle w:val="BodyText"/>
      </w:pPr>
      <w:r>
        <w:rPr>
          <w:rFonts w:hint="eastAsia"/>
        </w:rPr>
        <w:t xml:space="preserve">本轮冲突最早可追溯至2月28日开启的美—以联合空袭行动</w:t>
      </w:r>
      <w:r>
        <w:t xml:space="preserve"> </w:t>
      </w:r>
      <w:r>
        <w:rPr>
          <w:rFonts w:hint="eastAsia"/>
        </w:rPr>
        <w:t xml:space="preserve">[10]。伊朗最高领袖哈梅内伊（Khamenei）发表声明称“伊朗民族……已成为自由国家的骄傲之源”</w:t>
      </w:r>
      <w:r>
        <w:t xml:space="preserve"> </w:t>
      </w:r>
      <w:r>
        <w:rPr>
          <w:rFonts w:hint="eastAsia"/>
        </w:rPr>
        <w:t xml:space="preserve">[11]。CNN等媒体援引现场消息称，停火协议虽在文本上有效，但战场态势与各方表态显示，事实上的低烈度敌对仍在继续</w:t>
      </w:r>
      <w:r>
        <w:t xml:space="preserve"> [11]。</w:t>
      </w:r>
    </w:p>
    <w:p>
      <w:pPr>
        <w:pStyle w:val="BodyText"/>
      </w:pPr>
      <w:r>
        <w:rPr>
          <w:b/>
          <w:bCs/>
        </w:rPr>
        <w:t xml:space="preserve">References</w:t>
      </w:r>
    </w:p>
    <w:p>
      <w:pPr>
        <w:pStyle w:val="BodyText"/>
      </w:pPr>
      <w:r>
        <w:t xml:space="preserve">[10] ABC News. (2026, June 4).</w:t>
      </w:r>
      <w:r>
        <w:t xml:space="preserve"> </w:t>
      </w:r>
      <w:r>
        <w:rPr>
          <w:i/>
          <w:iCs/>
        </w:rPr>
        <w:t xml:space="preserve">Iran live updates: IRGC claims airbase attack after ceasefire</w:t>
      </w:r>
      <w:r>
        <w:t xml:space="preserve">. ABC News. https://abcnews.com/International/live-updates/iran-live-updates-irgc-claims-airbase-attack-after/?id=133475855</w:t>
      </w:r>
    </w:p>
    <w:p>
      <w:pPr>
        <w:pStyle w:val="BodyText"/>
      </w:pPr>
      <w:r>
        <w:t xml:space="preserve">[11] CNN. (2026, June 4).</w:t>
      </w:r>
      <w:r>
        <w:t xml:space="preserve"> </w:t>
      </w:r>
      <w:r>
        <w:rPr>
          <w:i/>
          <w:iCs/>
        </w:rPr>
        <w:t xml:space="preserve">Iran-Trump war news: Live updates</w:t>
      </w:r>
      <w:r>
        <w:t xml:space="preserve">. CNN. https://www.cnn.com/2026/06/04/world/live-news/iran-trump-war-news</w:t>
      </w:r>
    </w:p>
    <w:p>
      <w:r>
        <w:pict>
          <v:rect style="width:0;height:1.5pt" o:hralign="center" o:hrstd="t" o:hr="t"/>
        </w:pict>
      </w:r>
    </w:p>
    <w:bookmarkEnd w:id="14"/>
    <w:bookmarkStart w:id="15" w:name="加州州长初选希尔顿与贝塞拉领跑共和党时隔八年再进决选"/>
    <w:p>
      <w:pPr>
        <w:pStyle w:val="Heading3"/>
      </w:pPr>
      <w:r>
        <w:rPr>
          <w:rFonts w:hint="eastAsia"/>
        </w:rPr>
        <w:t xml:space="preserve">加州州长初选：希尔顿与贝塞拉领跑，共和党时隔八年再进决选</w:t>
      </w:r>
    </w:p>
    <w:p>
      <w:pPr>
        <w:pStyle w:val="FirstParagraph"/>
      </w:pPr>
      <w:r>
        <w:rPr>
          <w:rFonts w:hint="eastAsia"/>
        </w:rPr>
        <w:t xml:space="preserve">2026年6月4日清晨，加利福尼亚州2026年6月2日举行的全党派州长初选已计票完成62%，结果显示由特朗普背书的共和党评论员史蒂夫·希尔顿（Steve</w:t>
      </w:r>
      <w:r>
        <w:t xml:space="preserve"> </w:t>
      </w:r>
      <w:r>
        <w:rPr>
          <w:rFonts w:hint="eastAsia"/>
        </w:rPr>
        <w:t xml:space="preserve">Hilton）以约28%的得票率领先；前美国卫生与公众服务部长、民主党人哈维尔·贝塞拉（Xavier</w:t>
      </w:r>
      <w:r>
        <w:t xml:space="preserve"> </w:t>
      </w:r>
      <w:r>
        <w:rPr>
          <w:rFonts w:hint="eastAsia"/>
        </w:rPr>
        <w:t xml:space="preserve">Becerra）以约26%紧随其后；亿万富翁、民主党人汤姆·斯泰尔（Tom</w:t>
      </w:r>
      <w:r>
        <w:t xml:space="preserve"> </w:t>
      </w:r>
      <w:r>
        <w:rPr>
          <w:rFonts w:hint="eastAsia"/>
        </w:rPr>
        <w:t xml:space="preserve">Steyer）以约20%居第三</w:t>
      </w:r>
      <w:r>
        <w:t xml:space="preserve"> [12]。</w:t>
      </w:r>
    </w:p>
    <w:p>
      <w:pPr>
        <w:pStyle w:val="BodyText"/>
      </w:pPr>
      <w:r>
        <w:rPr>
          <w:rFonts w:hint="eastAsia"/>
        </w:rPr>
        <w:t xml:space="preserve">加州采用全党派初选制度，得票前两名将无论党派进入11月3日的大选</w:t>
      </w:r>
      <w:r>
        <w:t xml:space="preserve"> </w:t>
      </w:r>
      <w:r>
        <w:rPr>
          <w:rFonts w:hint="eastAsia"/>
        </w:rPr>
        <w:t xml:space="preserve">[12]。在61人候选人混战的格局下，希尔顿如能保持领先优势，将成为自2018年以来首位晋级加州州长大选的共和党人</w:t>
      </w:r>
      <w:r>
        <w:t xml:space="preserve"> </w:t>
      </w:r>
      <w:r>
        <w:rPr>
          <w:rFonts w:hint="eastAsia"/>
        </w:rPr>
        <w:t xml:space="preserve">[12]。现任州长加文·纽森（Gavin</w:t>
      </w:r>
      <w:r>
        <w:t xml:space="preserve"> </w:t>
      </w:r>
      <w:r>
        <w:rPr>
          <w:rFonts w:hint="eastAsia"/>
        </w:rPr>
        <w:t xml:space="preserve">Newsom）因任期限制不能寻求第三任</w:t>
      </w:r>
      <w:r>
        <w:t xml:space="preserve"> [12]。</w:t>
      </w:r>
    </w:p>
    <w:p>
      <w:pPr>
        <w:pStyle w:val="BodyText"/>
      </w:pPr>
      <w:r>
        <w:rPr>
          <w:rFonts w:hint="eastAsia"/>
        </w:rPr>
        <w:t xml:space="preserve">由于加州允许6月2日（含）当天邮戳的邮寄选票于6月9日前送达均计入有效票，最终排序仍存变数</w:t>
      </w:r>
      <w:r>
        <w:t xml:space="preserve"> </w:t>
      </w:r>
      <w:r>
        <w:rPr>
          <w:rFonts w:hint="eastAsia"/>
        </w:rPr>
        <w:t xml:space="preserve">[12]。ABC7新闻指出，希尔顿与贝塞拉之间的差距处于“势均力敌”区间，南加州民主党选区的延后计票可能对当前排序产生实质性影响</w:t>
      </w:r>
      <w:r>
        <w:t xml:space="preserve"> [13]。</w:t>
      </w:r>
    </w:p>
    <w:p>
      <w:pPr>
        <w:pStyle w:val="BodyText"/>
      </w:pPr>
      <w:r>
        <w:rPr>
          <w:b/>
          <w:bCs/>
        </w:rPr>
        <w:t xml:space="preserve">References</w:t>
      </w:r>
    </w:p>
    <w:p>
      <w:pPr>
        <w:pStyle w:val="BodyText"/>
      </w:pPr>
      <w:r>
        <w:t xml:space="preserve">[12] NBC News. (2026, June 4).</w:t>
      </w:r>
      <w:r>
        <w:t xml:space="preserve"> </w:t>
      </w:r>
      <w:r>
        <w:rPr>
          <w:i/>
          <w:iCs/>
        </w:rPr>
        <w:t xml:space="preserve">California governor results — 2026 primary elections</w:t>
      </w:r>
      <w:r>
        <w:t xml:space="preserve">. NBC News. https://www.nbcnews.com/politics/2026-primary-elections/california-governor-results</w:t>
      </w:r>
    </w:p>
    <w:p>
      <w:pPr>
        <w:pStyle w:val="BodyText"/>
      </w:pPr>
      <w:r>
        <w:t xml:space="preserve">[13] ABC7 News. (2026, June 4).</w:t>
      </w:r>
      <w:r>
        <w:t xml:space="preserve"> </w:t>
      </w:r>
      <w:r>
        <w:rPr>
          <w:i/>
          <w:iCs/>
        </w:rPr>
        <w:t xml:space="preserve">2026 primary election: Steve Hilton, Xavier Becerra hold leads in tight close-call California governor’s race</w:t>
      </w:r>
      <w:r>
        <w:t xml:space="preserve">. ABC7 News. https://abc7news.com/post/2026-primary-election-steve-hilton-xavier-becerra-hold-leads-tight-close-call-california-governors-race/19229834/</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博通重挫14ai芯片二季度指引未超预期引发情绪反转"/>
    <w:p>
      <w:pPr>
        <w:pStyle w:val="Heading3"/>
      </w:pPr>
      <w:r>
        <w:rPr>
          <w:rFonts w:hint="eastAsia"/>
        </w:rPr>
        <w:t xml:space="preserve">博通重挫14%：AI芯片二季度指引“未超预期”引发情绪反转</w:t>
      </w:r>
    </w:p>
    <w:p>
      <w:pPr>
        <w:pStyle w:val="FirstParagraph"/>
      </w:pPr>
      <w:r>
        <w:rPr>
          <w:rFonts w:hint="eastAsia"/>
        </w:rPr>
        <w:t xml:space="preserve">博通公司（Broadcom,</w:t>
      </w:r>
      <w:r>
        <w:t xml:space="preserve"> NASDAQ: </w:t>
      </w:r>
      <w:r>
        <w:rPr>
          <w:rFonts w:hint="eastAsia"/>
        </w:rPr>
        <w:t xml:space="preserve">AVGO）股价在2026年6月4日正常交易时段下跌约14%，原因是其于6月3日盘后发布的2026财年二季度业绩虽整体超预期，但AI芯片业务指引未能复制此前数个季度的“惊喜上调”模式</w:t>
      </w:r>
      <w:r>
        <w:t xml:space="preserve"> [14]。</w:t>
      </w:r>
    </w:p>
    <w:p>
      <w:pPr>
        <w:pStyle w:val="BodyText"/>
      </w:pPr>
      <w:r>
        <w:rPr>
          <w:rFonts w:hint="eastAsia"/>
        </w:rPr>
        <w:t xml:space="preserve">财务数据本身仍属强劲：二季度营收221.9亿美元，同比增长48%，略低于分析师一致预期的222.7亿美元；调整后每股收益2.44美元，超出市场预期的2.40美元；GAAP净利润达93.1亿美元（每股1.91美元），较上年同期的49.7亿美元增长88%</w:t>
      </w:r>
      <w:r>
        <w:t xml:space="preserve"> </w:t>
      </w:r>
      <w:r>
        <w:rPr>
          <w:rFonts w:hint="eastAsia"/>
        </w:rPr>
        <w:t xml:space="preserve">[14]。AI半导体收入同比翻倍至108亿美元，是公司增长的核心引擎</w:t>
      </w:r>
      <w:r>
        <w:t xml:space="preserve"> </w:t>
      </w:r>
      <w:r>
        <w:rPr>
          <w:rFonts w:hint="eastAsia"/>
        </w:rPr>
        <w:t xml:space="preserve">[14]。三季度营收指引约294亿美元，亦超过分析师一致预期的282.5亿美元</w:t>
      </w:r>
      <w:r>
        <w:t xml:space="preserve"> [14]。</w:t>
      </w:r>
    </w:p>
    <w:p>
      <w:pPr>
        <w:pStyle w:val="BodyText"/>
      </w:pPr>
      <w:r>
        <w:rPr>
          <w:rFonts w:hint="eastAsia"/>
        </w:rPr>
        <w:t xml:space="preserve">然而博通选择“维持”而非“上调”其FY2027年1,000亿美元AI芯片收入目标，是市场情绪逆转的关键</w:t>
      </w:r>
      <w:r>
        <w:t xml:space="preserve"> </w:t>
      </w:r>
      <w:r>
        <w:rPr>
          <w:rFonts w:hint="eastAsia"/>
        </w:rPr>
        <w:t xml:space="preserve">[14]。首席执行官陈福阳（Hock</w:t>
      </w:r>
      <w:r>
        <w:t xml:space="preserve"> </w:t>
      </w:r>
      <w:r>
        <w:rPr>
          <w:rFonts w:hint="eastAsia"/>
        </w:rPr>
        <w:t xml:space="preserve">Tan）承认，作为博通最大定制AI芯片客户的Google已开始增加来自其他供应商（包括MediaTek）的设计份额</w:t>
      </w:r>
      <w:r>
        <w:t xml:space="preserve"> </w:t>
      </w:r>
      <w:r>
        <w:rPr>
          <w:rFonts w:hint="eastAsia"/>
        </w:rPr>
        <w:t xml:space="preserve">[14]。从产业脉络看，博通自2014年起已与Google共同设计七代TPU，并通过其XPU平台同时为Anthropic、OpenAI与Meta构建定制ASIC，因此Google多元化采购被解读为对博通长期份额的潜在挤压</w:t>
      </w:r>
      <w:r>
        <w:t xml:space="preserve"> </w:t>
      </w:r>
      <w:r>
        <w:rPr>
          <w:rFonts w:hint="eastAsia"/>
        </w:rPr>
        <w:t xml:space="preserve">[15]。SiliconAngle评论称，此次回调本质上是“超高预期被略低于完美的现实击穿”的过程</w:t>
      </w:r>
      <w:r>
        <w:t xml:space="preserve"> [16]。</w:t>
      </w:r>
    </w:p>
    <w:p>
      <w:pPr>
        <w:pStyle w:val="BodyText"/>
      </w:pPr>
      <w:r>
        <w:rPr>
          <w:b/>
          <w:bCs/>
        </w:rPr>
        <w:t xml:space="preserve">References</w:t>
      </w:r>
    </w:p>
    <w:p>
      <w:pPr>
        <w:pStyle w:val="BodyText"/>
      </w:pPr>
      <w:r>
        <w:t xml:space="preserve">[14] CNBC. (2026, June 3).</w:t>
      </w:r>
      <w:r>
        <w:t xml:space="preserve"> </w:t>
      </w:r>
      <w:r>
        <w:rPr>
          <w:i/>
          <w:iCs/>
        </w:rPr>
        <w:t xml:space="preserve">Broadcom AVGO earnings report Q2 2026</w:t>
      </w:r>
      <w:r>
        <w:t xml:space="preserve">. CNBC. https://www.cnbc.com/2026/06/03/broadcom-avgo-earnings-report-q2-2026.html</w:t>
      </w:r>
    </w:p>
    <w:p>
      <w:pPr>
        <w:pStyle w:val="BodyText"/>
      </w:pPr>
      <w:r>
        <w:t xml:space="preserve">[15] Tom’s Hardware. (2026, May).</w:t>
      </w:r>
      <w:r>
        <w:t xml:space="preserve"> </w:t>
      </w:r>
      <w:r>
        <w:rPr>
          <w:i/>
          <w:iCs/>
        </w:rPr>
        <w:t xml:space="preserve">The custom AI ASIC state of play (May 2026) — Broadcom deals, Google TPUs, Meta MTIA &amp; beyond</w:t>
      </w:r>
      <w:r>
        <w:t xml:space="preserve">. Tom’s Hardware. https://www.tomshardware.com/tech-industry/semiconductors/custom-ai-asics-examined-from-broadcom-to-mtia</w:t>
      </w:r>
    </w:p>
    <w:p>
      <w:pPr>
        <w:pStyle w:val="BodyText"/>
      </w:pPr>
      <w:r>
        <w:t xml:space="preserve">[16] SiliconAngle. (2026, June 3).</w:t>
      </w:r>
      <w:r>
        <w:t xml:space="preserve"> </w:t>
      </w:r>
      <w:r>
        <w:rPr>
          <w:i/>
          <w:iCs/>
        </w:rPr>
        <w:t xml:space="preserve">Broadcom revenue miss stuns Wall Street, stock sinks hours</w:t>
      </w:r>
      <w:r>
        <w:t xml:space="preserve">. SiliconAngle. https://siliconangle.com/2026/06/03/broadcom-revenue-miss-stuns-wall-street-stock-sinks-hours/</w:t>
      </w:r>
    </w:p>
    <w:p>
      <w:r>
        <w:pict>
          <v:rect style="width:0;height:1.5pt" o:hralign="center" o:hrstd="t" o:hr="t"/>
        </w:pict>
      </w:r>
    </w:p>
    <w:bookmarkEnd w:id="17"/>
    <w:bookmarkStart w:id="18" w:name="crowdstrike业绩超预期并宣布四拆一拆股但谨慎指引拖累股价跌逾11"/>
    <w:p>
      <w:pPr>
        <w:pStyle w:val="Heading3"/>
      </w:pPr>
      <w:r>
        <w:rPr>
          <w:rFonts w:hint="eastAsia"/>
        </w:rPr>
        <w:t xml:space="preserve">CrowdStrike业绩超预期并宣布“四拆一”拆股，但谨慎指引拖累股价跌逾11%</w:t>
      </w:r>
    </w:p>
    <w:p>
      <w:pPr>
        <w:pStyle w:val="FirstParagraph"/>
      </w:pPr>
      <w:r>
        <w:t xml:space="preserve">CrowdStrike </w:t>
      </w:r>
      <w:r>
        <w:rPr>
          <w:rFonts w:hint="eastAsia"/>
        </w:rPr>
        <w:t xml:space="preserve">Holdings（NASDAQ:</w:t>
      </w:r>
      <w:r>
        <w:t xml:space="preserve"> </w:t>
      </w:r>
      <w:r>
        <w:rPr>
          <w:rFonts w:hint="eastAsia"/>
        </w:rPr>
        <w:t xml:space="preserve">CRWD）于2026年6月4日股价下跌逾11%，尽管其2027财年一季度业绩全面超出市场预期</w:t>
      </w:r>
      <w:r>
        <w:t xml:space="preserve"> </w:t>
      </w:r>
      <w:r>
        <w:rPr>
          <w:rFonts w:hint="eastAsia"/>
        </w:rPr>
        <w:t xml:space="preserve">[17]。营收同比增长26%至13.9亿美元；年度经常性收入（Annual</w:t>
      </w:r>
      <w:r>
        <w:t xml:space="preserve"> Recurring Revenue, </w:t>
      </w:r>
      <w:r>
        <w:rPr>
          <w:rFonts w:hint="eastAsia"/>
        </w:rPr>
        <w:t xml:space="preserve">ARR）增长24%至55.1亿美元；净新增ARR增长32%至2.56亿美元；调整后每股收益1.10美元；自由现金流达4.685亿美元</w:t>
      </w:r>
      <w:r>
        <w:t xml:space="preserve"> [17]。</w:t>
      </w:r>
    </w:p>
    <w:p>
      <w:pPr>
        <w:pStyle w:val="BodyText"/>
      </w:pPr>
      <w:r>
        <w:rPr>
          <w:rFonts w:hint="eastAsia"/>
        </w:rPr>
        <w:t xml:space="preserve">公司同时上调FY2027全年指引：营收区间至59.15—59.59亿美元，调整后每股收益区间至4.88—4.96美元，ARR区间至65.32—65.56亿美元</w:t>
      </w:r>
      <w:r>
        <w:t xml:space="preserve"> </w:t>
      </w:r>
      <w:r>
        <w:rPr>
          <w:rFonts w:hint="eastAsia"/>
        </w:rPr>
        <w:t xml:space="preserve">[17]。董事会还批准了一项“四拆一”（4-for-1）股票拆分，登记日为2026年6月25日，拆分后调整价格交易自7月2日开始</w:t>
      </w:r>
      <w:r>
        <w:t xml:space="preserve"> [17]。</w:t>
      </w:r>
    </w:p>
    <w:p>
      <w:pPr>
        <w:pStyle w:val="BodyText"/>
      </w:pPr>
      <w:r>
        <w:rPr>
          <w:rFonts w:hint="eastAsia"/>
        </w:rPr>
        <w:t xml:space="preserve">市场调整原因主要是管理层对二季度发出的相对谨慎的运营节奏指引、以及竞争对手在端点检测与响应（EDR）市场的攻势</w:t>
      </w:r>
      <w:r>
        <w:t xml:space="preserve"> </w:t>
      </w:r>
      <w:r>
        <w:rPr>
          <w:rFonts w:hint="eastAsia"/>
        </w:rPr>
        <w:t xml:space="preserve">[18]。Chartmill指出，CrowdStrike在高估值水平下，即使是“优秀但非惊艳”的指引也会触发获利了结，这一情绪与博通本日的回调形成共振，构成科技板块整体调整的核心驱动</w:t>
      </w:r>
      <w:r>
        <w:t xml:space="preserve"> [18]。</w:t>
      </w:r>
    </w:p>
    <w:p>
      <w:pPr>
        <w:pStyle w:val="BodyText"/>
      </w:pPr>
      <w:r>
        <w:rPr>
          <w:b/>
          <w:bCs/>
        </w:rPr>
        <w:t xml:space="preserve">References</w:t>
      </w:r>
    </w:p>
    <w:p>
      <w:pPr>
        <w:pStyle w:val="BodyText"/>
      </w:pPr>
      <w:r>
        <w:t xml:space="preserve">[17] The Motley Fool. (2026, June 3).</w:t>
      </w:r>
      <w:r>
        <w:t xml:space="preserve"> </w:t>
      </w:r>
      <w:r>
        <w:rPr>
          <w:i/>
          <w:iCs/>
        </w:rPr>
        <w:t xml:space="preserve">CrowdStrike 4-for-1 stock split: Is the stock a buy?</w:t>
      </w:r>
      <w:r>
        <w:t xml:space="preserve"> </w:t>
      </w:r>
      <w:r>
        <w:t xml:space="preserve">The Motley Fool. https://www.fool.com/investing/2026/06/03/crowdstrike-4-for-1-stock-split-stock-a-buy/</w:t>
      </w:r>
    </w:p>
    <w:p>
      <w:pPr>
        <w:pStyle w:val="BodyText"/>
      </w:pPr>
      <w:r>
        <w:t xml:space="preserve">[18] Chartmill. (2026, June 4).</w:t>
      </w:r>
      <w:r>
        <w:t xml:space="preserve"> </w:t>
      </w:r>
      <w:r>
        <w:rPr>
          <w:i/>
          <w:iCs/>
        </w:rPr>
        <w:t xml:space="preserve">CrowdStrike Holdings Inc (NASDAQ: CRWD) slips on cautious guidance despite strong Q1 results and stock split announcement</w:t>
      </w:r>
      <w:r>
        <w:t xml:space="preserve">. Chartmill. https://www.chartmill.com/news/CRWD/Chartmill-49405-CrowdStrike-Holdings-Inc-NASDAQCRWD-Slips-on-Cautious-Guidance-Despite-Strong-Q1-Results-and-Stock-Split-Announcement</w:t>
      </w:r>
    </w:p>
    <w:p>
      <w:r>
        <w:pict>
          <v:rect style="width:0;height:1.5pt" o:hralign="center" o:hrstd="t" o:hr="t"/>
        </w:pict>
      </w:r>
    </w:p>
    <w:bookmarkEnd w:id="18"/>
    <w:bookmarkStart w:id="19" w:name="ciena二季度营收同比增40上调fy2026全年指引至63亿美元"/>
    <w:p>
      <w:pPr>
        <w:pStyle w:val="Heading3"/>
      </w:pPr>
      <w:r>
        <w:rPr>
          <w:rFonts w:hint="eastAsia"/>
        </w:rPr>
        <w:t xml:space="preserve">Ciena二季度营收同比增40%，上调FY2026全年指引至63亿美元</w:t>
      </w:r>
    </w:p>
    <w:p>
      <w:pPr>
        <w:pStyle w:val="FirstParagraph"/>
      </w:pPr>
      <w:r>
        <w:rPr>
          <w:rFonts w:hint="eastAsia"/>
        </w:rPr>
        <w:t xml:space="preserve">光网络设备制造商Ciena</w:t>
      </w:r>
      <w:r>
        <w:t xml:space="preserve"> </w:t>
      </w:r>
      <w:r>
        <w:rPr>
          <w:rFonts w:hint="eastAsia"/>
        </w:rPr>
        <w:t xml:space="preserve">Corporation（NYSE:</w:t>
      </w:r>
      <w:r>
        <w:t xml:space="preserve"> </w:t>
      </w:r>
      <w:r>
        <w:rPr>
          <w:rFonts w:hint="eastAsia"/>
        </w:rPr>
        <w:t xml:space="preserve">CIEN）于2026年6月4日向美国证券交易委员会提交8-K文件，披露2026财年二季度业绩</w:t>
      </w:r>
      <w:r>
        <w:t xml:space="preserve"> </w:t>
      </w:r>
      <w:r>
        <w:rPr>
          <w:rFonts w:hint="eastAsia"/>
        </w:rPr>
        <w:t xml:space="preserve">[19]。营收15.7亿美元，同比增长40%；调整后每股收益1.64美元，较2025财年二季度（0.42美元）大幅增长290%；GAAP摊薄每股净收益1.49美元，远超去年同期的0.06美元</w:t>
      </w:r>
      <w:r>
        <w:t xml:space="preserve"> [19]。</w:t>
      </w:r>
    </w:p>
    <w:p>
      <w:pPr>
        <w:pStyle w:val="BodyText"/>
      </w:pPr>
      <w:r>
        <w:rPr>
          <w:rFonts w:hint="eastAsia"/>
        </w:rPr>
        <w:t xml:space="preserve">公司同时上调全年指引：FY2026三季度营收指引为16.25亿美元（±5,000万美元），全年营收指引由此前水平上调至63亿美元（±1亿美元），中值对应同比增长约32%</w:t>
      </w:r>
      <w:r>
        <w:t xml:space="preserve"> </w:t>
      </w:r>
      <w:r>
        <w:rPr>
          <w:rFonts w:hint="eastAsia"/>
        </w:rPr>
        <w:t xml:space="preserve">[19]。QuiverQuant援引公司管理层评论指出，需求由超大规模云厂商对400G/800G光相干模块的加速采购驱动，以及电信运营商在新一轮城域网现代化中的资本开支扩张</w:t>
      </w:r>
      <w:r>
        <w:t xml:space="preserve"> [20]。</w:t>
      </w:r>
    </w:p>
    <w:p>
      <w:pPr>
        <w:pStyle w:val="BodyText"/>
      </w:pPr>
      <w:r>
        <w:rPr>
          <w:rFonts w:hint="eastAsia"/>
        </w:rPr>
        <w:t xml:space="preserve">在博通与CrowdStrike同日下跌的对比下，Ciena的强劲数据强化了“AI基础设施利好仍未消退、但已开始在产业链上向下游光通信、网络与连接环节扩散”的市场叙事</w:t>
      </w:r>
      <w:r>
        <w:t xml:space="preserve"> [19][20]。</w:t>
      </w:r>
    </w:p>
    <w:p>
      <w:pPr>
        <w:pStyle w:val="BodyText"/>
      </w:pPr>
      <w:r>
        <w:rPr>
          <w:b/>
          <w:bCs/>
        </w:rPr>
        <w:t xml:space="preserve">References</w:t>
      </w:r>
    </w:p>
    <w:p>
      <w:pPr>
        <w:pStyle w:val="BodyText"/>
      </w:pPr>
      <w:r>
        <w:t xml:space="preserve">[19] Ciena Corporation. (2026, June 4).</w:t>
      </w:r>
      <w:r>
        <w:t xml:space="preserve"> </w:t>
      </w:r>
      <w:r>
        <w:rPr>
          <w:i/>
          <w:iCs/>
        </w:rPr>
        <w:t xml:space="preserve">Form 8-K: Q2 fiscal 2026 results</w:t>
      </w:r>
      <w:r>
        <w:t xml:space="preserve">. U.S. Securities and Exchange Commission. https://www.sec.gov/Archives/edgar/data/0000936395/000162828026040614/cien-20260604.htm</w:t>
      </w:r>
    </w:p>
    <w:p>
      <w:pPr>
        <w:pStyle w:val="BodyText"/>
      </w:pPr>
      <w:r>
        <w:t xml:space="preserve">[20] QuiverQuant. (2026, June 4).</w:t>
      </w:r>
      <w:r>
        <w:t xml:space="preserve"> </w:t>
      </w:r>
      <w:r>
        <w:rPr>
          <w:i/>
          <w:iCs/>
        </w:rPr>
        <w:t xml:space="preserve">Ciena ($CIEN) releases Q2 2026 earnings</w:t>
      </w:r>
      <w:r>
        <w:t xml:space="preserve">. QuiverQuant. https://www.quiverquant.com/news/CIENA+%28%24CIEN%29+Releases+Q2+2026+Earnings</w:t>
      </w:r>
    </w:p>
    <w:p>
      <w:r>
        <w:pict>
          <v:rect style="width:0;height:1.5pt" o:hralign="center" o:hrstd="t" o:hr="t"/>
        </w:pict>
      </w:r>
    </w:p>
    <w:bookmarkEnd w:id="19"/>
    <w:bookmarkEnd w:id="20"/>
    <w:bookmarkStart w:id="22" w:name="四社会与民生"/>
    <w:p>
      <w:pPr>
        <w:pStyle w:val="Heading2"/>
      </w:pPr>
      <w:r>
        <w:rPr>
          <w:rFonts w:hint="eastAsia"/>
        </w:rPr>
        <w:t xml:space="preserve">四、社会与民生</w:t>
      </w:r>
    </w:p>
    <w:bookmarkStart w:id="21" w:name="medicaid工作要求最终规则发布各州面临2027年1月落地的紧迫时间表"/>
    <w:p>
      <w:pPr>
        <w:pStyle w:val="Heading3"/>
      </w:pPr>
      <w:r>
        <w:rPr>
          <w:rFonts w:hint="eastAsia"/>
        </w:rPr>
        <w:t xml:space="preserve">Medicaid“工作要求”最终规则发布，各州面临2027年1月落地的紧迫时间表</w:t>
      </w:r>
    </w:p>
    <w:p>
      <w:pPr>
        <w:pStyle w:val="FirstParagraph"/>
      </w:pPr>
      <w:r>
        <w:rPr>
          <w:rFonts w:hint="eastAsia"/>
        </w:rPr>
        <w:t xml:space="preserve">美国医疗保险与医疗补助服务中心（Centers</w:t>
      </w:r>
      <w:r>
        <w:t xml:space="preserve"> for Medicare and Medicaid Services, </w:t>
      </w:r>
      <w:r>
        <w:rPr>
          <w:rFonts w:hint="eastAsia"/>
        </w:rPr>
        <w:t xml:space="preserve">CMS）于2026年6月1日发布Medicaid工作要求的临时最终规则，落实《一项重大美丽法案》（One</w:t>
      </w:r>
      <w:r>
        <w:t xml:space="preserve"> Big Beautiful Bill Act, P.L. </w:t>
      </w:r>
      <w:r>
        <w:rPr>
          <w:rFonts w:hint="eastAsia"/>
        </w:rPr>
        <w:t xml:space="preserve">119-21）相关条款</w:t>
      </w:r>
      <w:r>
        <w:t xml:space="preserve"> </w:t>
      </w:r>
      <w:r>
        <w:rPr>
          <w:rFonts w:hint="eastAsia"/>
        </w:rPr>
        <w:t xml:space="preserve">[21]。规则要求通过《平价医疗法案》（ACA）扩展覆盖的19—64岁Medicaid参保者每月须记录至少80小时的合格活动（工作、社区服务、教育或职业培训），各州须于2027年1月1日前完成实施</w:t>
      </w:r>
      <w:r>
        <w:t xml:space="preserve"> [21]。</w:t>
      </w:r>
    </w:p>
    <w:p>
      <w:pPr>
        <w:pStyle w:val="BodyText"/>
      </w:pPr>
      <w:r>
        <w:rPr>
          <w:rFonts w:hint="eastAsia"/>
        </w:rPr>
        <w:t xml:space="preserve">CMS自身估算2027年将有约230万人因此失去Medicaid参保资格；Urban</w:t>
      </w:r>
      <w:r>
        <w:t xml:space="preserve"> </w:t>
      </w:r>
      <w:r>
        <w:rPr>
          <w:rFonts w:hint="eastAsia"/>
        </w:rPr>
        <w:t xml:space="preserve">Institute则预测，到2028年覆盖损失可能在490万至1,010万人之间，区间宽度反映各州行政能力、外联力度与豁免认定的差异</w:t>
      </w:r>
      <w:r>
        <w:t xml:space="preserve"> </w:t>
      </w:r>
      <w:r>
        <w:rPr>
          <w:rFonts w:hint="eastAsia"/>
        </w:rPr>
        <w:t xml:space="preserve">[21]。截至2026年6月，扩展Medicaid的40个州及华盛顿特区均须执行该规则；内布拉斯加州自5月1日起已开始执行；蒙大拿州计划7月1日启动；爱荷华州拟于12月1日跟进</w:t>
      </w:r>
      <w:r>
        <w:t xml:space="preserve"> </w:t>
      </w:r>
      <w:r>
        <w:rPr>
          <w:rFonts w:hint="eastAsia"/>
        </w:rPr>
        <w:t xml:space="preserve">[21]。各州须在2026年6月30日至8月31日期间完成强制性的参保者外联通知，公众评议期至2026年7月31日截止</w:t>
      </w:r>
      <w:r>
        <w:t xml:space="preserve"> [21]。</w:t>
      </w:r>
    </w:p>
    <w:p>
      <w:pPr>
        <w:pStyle w:val="BodyText"/>
      </w:pPr>
      <w:r>
        <w:rPr>
          <w:rFonts w:hint="eastAsia"/>
        </w:rPr>
        <w:t xml:space="preserve">预算与政策优先中心（CBPP）指出，CMS在规则末段强化了“医疗虚弱”（medical</w:t>
      </w:r>
      <w:r>
        <w:t xml:space="preserve"> </w:t>
      </w:r>
      <w:r>
        <w:rPr>
          <w:rFonts w:hint="eastAsia"/>
        </w:rPr>
        <w:t xml:space="preserve">frailty）定义的限制性，可能进一步削弱原本应受保护人群的覆盖</w:t>
      </w:r>
      <w:r>
        <w:t xml:space="preserve"> </w:t>
      </w:r>
      <w:r>
        <w:rPr>
          <w:rFonts w:hint="eastAsia"/>
        </w:rPr>
        <w:t xml:space="preserve">[22]。从历史经验看，阿肯色州2018年成为全美首个实施Medicaid工作要求的州后，在最初七个月内已有逾1.8万人（约占受规则约束人群的四分之一）失去保险——其中绝大多数实际上符合要求或可获豁免，仅因不了解报告机制或行政障碍而丢失资格；研究并未发现就业率因工作要求而显著上升</w:t>
      </w:r>
      <w:r>
        <w:t xml:space="preserve"> [23]。Healthcare </w:t>
      </w:r>
      <w:r>
        <w:rPr>
          <w:rFonts w:hint="eastAsia"/>
        </w:rPr>
        <w:t xml:space="preserve">Dive指出，本次CMS指南的发布时间晚于多数州预期，州层级IT系统改造、客户呼叫中心建设与外联预算分配的压力将显著上升</w:t>
      </w:r>
      <w:r>
        <w:t xml:space="preserve"> [23]。</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[21] Kaiser Family Foundation. (2026, June 4).</w:t>
      </w:r>
      <w:r>
        <w:t xml:space="preserve"> </w:t>
      </w:r>
      <w:r>
        <w:rPr>
          <w:i/>
          <w:iCs/>
        </w:rPr>
        <w:t xml:space="preserve">CMS requires more restrictive definition of medical frailty in new Medicaid work requirements rule</w:t>
      </w:r>
      <w:r>
        <w:t xml:space="preserve">. KFF. https://www.kff.org/quick-insights/cms-requires-more-restrictive-definition-of-medical-frailty-in-new-medicaid-work-requirements-rule/</w:t>
      </w:r>
    </w:p>
    <w:p>
      <w:pPr>
        <w:pStyle w:val="BodyText"/>
      </w:pPr>
      <w:r>
        <w:t xml:space="preserve">[22] Center on Budget and Policy Priorities. (2026, June).</w:t>
      </w:r>
      <w:r>
        <w:t xml:space="preserve"> </w:t>
      </w:r>
      <w:r>
        <w:rPr>
          <w:i/>
          <w:iCs/>
        </w:rPr>
        <w:t xml:space="preserve">Administration’s last-minute restrictions likely to worsen impact of Medicaid work</w:t>
      </w:r>
      <w:r>
        <w:t xml:space="preserve">. CBPP. https://www.cbpp.org/research/health/administrations-last-minute-restrictions-likely-to-worsen-impact-of-medicaid-work</w:t>
      </w:r>
    </w:p>
    <w:p>
      <w:pPr>
        <w:pStyle w:val="BodyText"/>
      </w:pPr>
      <w:r>
        <w:t xml:space="preserve">[23] Healthcare Dive. (2026, June 4).</w:t>
      </w:r>
      <w:r>
        <w:t xml:space="preserve"> </w:t>
      </w:r>
      <w:r>
        <w:rPr>
          <w:i/>
          <w:iCs/>
        </w:rPr>
        <w:t xml:space="preserve">CMS Medicaid work requirements final rule, state guidance</w:t>
      </w:r>
      <w:r>
        <w:t xml:space="preserve">. Healthcare Dive. https://www.healthcaredive.com/news/cms-medicaid-work-requirements-final-rule-state-guidance/821631/</w:t>
      </w:r>
    </w:p>
    <w:p>
      <w:r>
        <w:pict>
          <v:rect style="width:0;height:1.5pt" o:hralign="center" o:hrstd="t" o:hr="t"/>
        </w:pict>
      </w:r>
    </w:p>
    <w:bookmarkEnd w:id="21"/>
    <w:bookmarkEnd w:id="22"/>
    <w:bookmarkStart w:id="26" w:name="五企业ipo与并购"/>
    <w:p>
      <w:pPr>
        <w:pStyle w:val="Heading2"/>
      </w:pPr>
      <w:r>
        <w:rPr>
          <w:rFonts w:hint="eastAsia"/>
        </w:rPr>
        <w:t xml:space="preserve">五、企业IPO与并购</w:t>
      </w:r>
    </w:p>
    <w:bookmarkStart w:id="23" w:name="spacex启动750亿美元ipo投资人路演隐含估值1.77万亿美元创纪录"/>
    <w:p>
      <w:pPr>
        <w:pStyle w:val="Heading3"/>
      </w:pPr>
      <w:r>
        <w:rPr>
          <w:rFonts w:hint="eastAsia"/>
        </w:rPr>
        <w:t xml:space="preserve">SpaceX启动750亿美元IPO投资人路演，隐含估值1.77万亿美元创纪录</w:t>
      </w:r>
    </w:p>
    <w:p>
      <w:pPr>
        <w:pStyle w:val="FirstParagraph"/>
      </w:pPr>
      <w:r>
        <w:rPr>
          <w:rFonts w:hint="eastAsia"/>
        </w:rPr>
        <w:t xml:space="preserve">SpaceX于2026年6月4日正式启动其投资人路演，为定于6月12日在纳斯达克以代码“SPCX”挂牌交易的首次公开募股做准备</w:t>
      </w:r>
      <w:r>
        <w:t xml:space="preserve"> </w:t>
      </w:r>
      <w:r>
        <w:rPr>
          <w:rFonts w:hint="eastAsia"/>
        </w:rPr>
        <w:t xml:space="preserve">[24]。公司将发行价固定为每股135美元、发行5.556亿股，目标募集资金约750亿美元，对应隐含市值约1.77万亿美元（约1.56万亿欧元），高于特斯拉当前约1.6万亿美元的估值</w:t>
      </w:r>
      <w:r>
        <w:t xml:space="preserve"> [24]。</w:t>
      </w:r>
    </w:p>
    <w:p>
      <w:pPr>
        <w:pStyle w:val="BodyText"/>
      </w:pPr>
      <w:r>
        <w:rPr>
          <w:rFonts w:hint="eastAsia"/>
        </w:rPr>
        <w:t xml:space="preserve">SpaceX于2026年5月20日向美国证券交易委员会提交了Form</w:t>
      </w:r>
      <w:r>
        <w:t xml:space="preserve"> </w:t>
      </w:r>
      <w:r>
        <w:rPr>
          <w:rFonts w:hint="eastAsia"/>
        </w:rPr>
        <w:t xml:space="preserve">S-1注册声明，并于6月1日提交修订版</w:t>
      </w:r>
      <w:r>
        <w:t xml:space="preserve"> </w:t>
      </w:r>
      <w:r>
        <w:rPr>
          <w:rFonts w:hint="eastAsia"/>
        </w:rPr>
        <w:t xml:space="preserve">[24]。招股说明书披露，埃隆·马斯克（Elon</w:t>
      </w:r>
      <w:r>
        <w:t xml:space="preserve"> </w:t>
      </w:r>
      <w:r>
        <w:rPr>
          <w:rFonts w:hint="eastAsia"/>
        </w:rPr>
        <w:t xml:space="preserve">Musk）持有约42%的股权但掌握逾85%的投票权，治理结构维持双重股权制</w:t>
      </w:r>
      <w:r>
        <w:t xml:space="preserve"> </w:t>
      </w:r>
      <w:r>
        <w:rPr>
          <w:rFonts w:hint="eastAsia"/>
        </w:rPr>
        <w:t xml:space="preserve">[24]。在收入结构上，Starlink贡献了SpaceX每5美元收入中的3美元，是估值核心</w:t>
      </w:r>
      <w:r>
        <w:t xml:space="preserve"> [24]。Goldman </w:t>
      </w:r>
      <w:r>
        <w:rPr>
          <w:rFonts w:hint="eastAsia"/>
        </w:rPr>
        <w:t xml:space="preserve">Sachs担任承销团首席，IPO最终定价预计于6月11日完成</w:t>
      </w:r>
      <w:r>
        <w:t xml:space="preserve"> [24]。</w:t>
      </w:r>
    </w:p>
    <w:p>
      <w:pPr>
        <w:pStyle w:val="BodyText"/>
      </w:pPr>
      <w:r>
        <w:rPr>
          <w:rFonts w:hint="eastAsia"/>
        </w:rPr>
        <w:t xml:space="preserve">韦德布什证券（Wedbush</w:t>
      </w:r>
      <w:r>
        <w:t xml:space="preserve"> </w:t>
      </w:r>
      <w:r>
        <w:rPr>
          <w:rFonts w:hint="eastAsia"/>
        </w:rPr>
        <w:t xml:space="preserve">Securities）高级分析师Dan</w:t>
      </w:r>
      <w:r>
        <w:t xml:space="preserve"> </w:t>
      </w:r>
      <w:r>
        <w:rPr>
          <w:rFonts w:hint="eastAsia"/>
        </w:rPr>
        <w:t xml:space="preserve">Ives评论称，本次发行“是公开市场在经历多年沉寂IPO活动后的首次重大检验，SpaceX为Anthropic与OpenAI等AI巨头随后入市铺平了道路。”</w:t>
      </w:r>
      <w:r>
        <w:t xml:space="preserve"> [24]</w:t>
      </w:r>
    </w:p>
    <w:p>
      <w:pPr>
        <w:pStyle w:val="BodyText"/>
      </w:pPr>
      <w:r>
        <w:rPr>
          <w:rFonts w:hint="eastAsia"/>
        </w:rPr>
        <w:t xml:space="preserve">从Starlink自身的增长曲线看，其连接业务收入由2024年的77亿美元增长83%至2025年的114亿美元；订阅用户由2024年底的440万跃升至2025年底的890万，并于2026年3月底达到1,030万</w:t>
      </w:r>
      <w:r>
        <w:t xml:space="preserve"> </w:t>
      </w:r>
      <w:r>
        <w:rPr>
          <w:rFonts w:hint="eastAsia"/>
        </w:rPr>
        <w:t xml:space="preserve">[25]。Starlink亦是SpaceX唯一盈利的业务部门，2025年贡献约44亿美元的经营利润</w:t>
      </w:r>
      <w:r>
        <w:t xml:space="preserve"> </w:t>
      </w:r>
      <w:r>
        <w:rPr>
          <w:rFonts w:hint="eastAsia"/>
        </w:rPr>
        <w:t xml:space="preserve">[25]。Fortune报道指出，固定发行价和实质上完全转让给Starlink订阅经济的估值锚，使本次IPO对宏观流动性的敏感度异乎寻常的高</w:t>
      </w:r>
      <w:r>
        <w:t xml:space="preserve"> [26]。</w:t>
      </w:r>
    </w:p>
    <w:p>
      <w:pPr>
        <w:pStyle w:val="BodyText"/>
      </w:pPr>
      <w:r>
        <w:rPr>
          <w:b/>
          <w:bCs/>
        </w:rPr>
        <w:t xml:space="preserve">References</w:t>
      </w:r>
    </w:p>
    <w:p>
      <w:pPr>
        <w:pStyle w:val="BodyText"/>
      </w:pPr>
      <w:r>
        <w:t xml:space="preserve">[24] Katanich, D., &amp; Associated Press. (2026, June 4).</w:t>
      </w:r>
      <w:r>
        <w:t xml:space="preserve"> </w:t>
      </w:r>
      <w:r>
        <w:rPr>
          <w:i/>
          <w:iCs/>
        </w:rPr>
        <w:t xml:space="preserve">SpaceX sets IPO price valuing company at $1.75tn ahead of record debut</w:t>
      </w:r>
      <w:r>
        <w:t xml:space="preserve">. Euronews. https://www.euronews.com/business/2026/06/04/spacex-sets-ipo-price-valuing-company-at-175tn-ahead-of-record-debut</w:t>
      </w:r>
    </w:p>
    <w:p>
      <w:pPr>
        <w:pStyle w:val="BodyText"/>
      </w:pPr>
      <w:r>
        <w:t xml:space="preserve">[25] Sacra. (2026).</w:t>
      </w:r>
      <w:r>
        <w:t xml:space="preserve"> </w:t>
      </w:r>
      <w:r>
        <w:rPr>
          <w:i/>
          <w:iCs/>
        </w:rPr>
        <w:t xml:space="preserve">SpaceX revenue, valuation &amp; funding</w:t>
      </w:r>
      <w:r>
        <w:t xml:space="preserve">. Sacra. https://sacra.com/c/spacex/</w:t>
      </w:r>
    </w:p>
    <w:p>
      <w:pPr>
        <w:pStyle w:val="BodyText"/>
      </w:pPr>
      <w:r>
        <w:t xml:space="preserve">[26] Fortune. (2026, June 4).</w:t>
      </w:r>
      <w:r>
        <w:t xml:space="preserve"> </w:t>
      </w:r>
      <w:r>
        <w:rPr>
          <w:i/>
          <w:iCs/>
        </w:rPr>
        <w:t xml:space="preserve">SpaceX IPO price</w:t>
      </w:r>
      <w:r>
        <w:t xml:space="preserve">. Fortune. https://fortune.com/2026/06/04/spacex-ipo-price/</w:t>
      </w:r>
    </w:p>
    <w:p>
      <w:r>
        <w:pict>
          <v:rect style="width:0;height:1.5pt" o:hralign="center" o:hrstd="t" o:hr="t"/>
        </w:pict>
      </w:r>
    </w:p>
    <w:bookmarkEnd w:id="23"/>
    <w:bookmarkStart w:id="24" w:name="Xd8c366e012dab10690b81b09dba00f80e0679d1"/>
    <w:p>
      <w:pPr>
        <w:pStyle w:val="Heading3"/>
      </w:pPr>
      <w:r>
        <w:rPr>
          <w:rFonts w:hint="eastAsia"/>
        </w:rPr>
        <w:t xml:space="preserve">伯克希尔-哈撒韦提交DEFA14A，推进85亿美元收购Taylor</w:t>
      </w:r>
      <w:r>
        <w:t xml:space="preserve"> Morrison</w:t>
      </w:r>
    </w:p>
    <w:p>
      <w:pPr>
        <w:pStyle w:val="FirstParagraph"/>
      </w:pPr>
      <w:r>
        <w:t xml:space="preserve">Taylor Morrison Home </w:t>
      </w:r>
      <w:r>
        <w:rPr>
          <w:rFonts w:hint="eastAsia"/>
        </w:rPr>
        <w:t xml:space="preserve">Corporation（NYSE:</w:t>
      </w:r>
      <w:r>
        <w:t xml:space="preserve"> </w:t>
      </w:r>
      <w:r>
        <w:rPr>
          <w:rFonts w:hint="eastAsia"/>
        </w:rPr>
        <w:t xml:space="preserve">TMHC）于2026年6月4日向美国证券交易委员会提交了最终补充委托代理征集材料（DEFA14A），用于推进伯克希尔-哈撒韦（Berkshire</w:t>
      </w:r>
      <w:r>
        <w:t xml:space="preserve"> </w:t>
      </w:r>
      <w:r>
        <w:rPr>
          <w:rFonts w:hint="eastAsia"/>
        </w:rPr>
        <w:t xml:space="preserve">Hathaway）拟议中的85亿美元收购</w:t>
      </w:r>
      <w:r>
        <w:t xml:space="preserve"> </w:t>
      </w:r>
      <w:r>
        <w:rPr>
          <w:rFonts w:hint="eastAsia"/>
        </w:rPr>
        <w:t xml:space="preserve">[27]。交易于2026年5月31日宣布：伯克希尔以每股72.50美元现金收购Taylor</w:t>
      </w:r>
      <w:r>
        <w:t xml:space="preserve"> </w:t>
      </w:r>
      <w:r>
        <w:rPr>
          <w:rFonts w:hint="eastAsia"/>
        </w:rPr>
        <w:t xml:space="preserve">Morrison流通普通股，总股权对价约68亿美元，较该公司5月29日58.50美元收盘价溢价24%</w:t>
      </w:r>
      <w:r>
        <w:t xml:space="preserve"> [27]。</w:t>
      </w:r>
    </w:p>
    <w:p>
      <w:pPr>
        <w:pStyle w:val="BodyText"/>
      </w:pPr>
      <w:r>
        <w:rPr>
          <w:rFonts w:hint="eastAsia"/>
        </w:rPr>
        <w:t xml:space="preserve">这是伯克希尔接任首席执行官格雷格·阿贝尔（Greg</w:t>
      </w:r>
      <w:r>
        <w:t xml:space="preserve"> </w:t>
      </w:r>
      <w:r>
        <w:rPr>
          <w:rFonts w:hint="eastAsia"/>
        </w:rPr>
        <w:t xml:space="preserve">Abel）领导下的首笔重大并购。阿贝尔接替沃伦·巴菲特（Warren</w:t>
      </w:r>
      <w:r>
        <w:t xml:space="preserve"> </w:t>
      </w:r>
      <w:r>
        <w:rPr>
          <w:rFonts w:hint="eastAsia"/>
        </w:rPr>
        <w:t xml:space="preserve">Buffett）出任CEO，巴菲特仍担任董事会主席</w:t>
      </w:r>
      <w:r>
        <w:t xml:space="preserve"> </w:t>
      </w:r>
      <w:r>
        <w:rPr>
          <w:rFonts w:hint="eastAsia"/>
        </w:rPr>
        <w:t xml:space="preserve">[27]。Bloomberg援引公告指出，巴菲特对该笔交易表达赞赏，称“Greg比我能做的更快、更顺畅地完成了这笔交易”</w:t>
      </w:r>
      <w:r>
        <w:t xml:space="preserve"> [28]。</w:t>
      </w:r>
    </w:p>
    <w:p>
      <w:pPr>
        <w:pStyle w:val="BodyText"/>
      </w:pPr>
      <w:r>
        <w:t xml:space="preserve">Taylor </w:t>
      </w:r>
      <w:r>
        <w:rPr>
          <w:rFonts w:hint="eastAsia"/>
        </w:rPr>
        <w:t xml:space="preserve">Morrison现任首席执行官Sheryl</w:t>
      </w:r>
      <w:r>
        <w:t xml:space="preserve"> </w:t>
      </w:r>
      <w:r>
        <w:rPr>
          <w:rFonts w:hint="eastAsia"/>
        </w:rPr>
        <w:t xml:space="preserve">Palmer将在收购完成后继续领导公司，伯克希尔计划将其与既有的Clayton</w:t>
      </w:r>
      <w:r>
        <w:t xml:space="preserve"> </w:t>
      </w:r>
      <w:r>
        <w:rPr>
          <w:rFonts w:hint="eastAsia"/>
        </w:rPr>
        <w:t xml:space="preserve">Homes及Berkshire</w:t>
      </w:r>
      <w:r>
        <w:t xml:space="preserve"> Hathaway </w:t>
      </w:r>
      <w:r>
        <w:rPr>
          <w:rFonts w:hint="eastAsia"/>
        </w:rPr>
        <w:t xml:space="preserve">HomeServices等住房板块业务整合</w:t>
      </w:r>
      <w:r>
        <w:t xml:space="preserve"> </w:t>
      </w:r>
      <w:r>
        <w:rPr>
          <w:rFonts w:hint="eastAsia"/>
        </w:rPr>
        <w:t xml:space="preserve">[27][28]。交易预计在2026年下半年完成</w:t>
      </w:r>
      <w:r>
        <w:t xml:space="preserve"> </w:t>
      </w:r>
      <w:r>
        <w:rPr>
          <w:rFonts w:hint="eastAsia"/>
        </w:rPr>
        <w:t xml:space="preserve">[27]。市场普遍将此视为伯克希尔在住房市场长期低迷之后“逆周期布局美国住宅建筑”的标志性举动</w:t>
      </w:r>
      <w:r>
        <w:t xml:space="preserve"> [28]。</w:t>
      </w:r>
    </w:p>
    <w:p>
      <w:pPr>
        <w:pStyle w:val="BodyText"/>
      </w:pPr>
      <w:r>
        <w:rPr>
          <w:b/>
          <w:bCs/>
        </w:rPr>
        <w:t xml:space="preserve">References</w:t>
      </w:r>
    </w:p>
    <w:p>
      <w:pPr>
        <w:pStyle w:val="BodyText"/>
      </w:pPr>
      <w:r>
        <w:t xml:space="preserve">[27] Taylor Morrison Home Corporation. (2026, June 4).</w:t>
      </w:r>
      <w:r>
        <w:t xml:space="preserve"> </w:t>
      </w:r>
      <w:r>
        <w:rPr>
          <w:i/>
          <w:iCs/>
        </w:rPr>
        <w:t xml:space="preserve">Definitive additional proxy solicitation materials (DEFA14A)</w:t>
      </w:r>
      <w:r>
        <w:t xml:space="preserve">. U.S. Securities and Exchange Commission. https://www.sec.gov/Archives/edgar/data/0001562476/000119312526252155/d10100ddefa14a.htm</w:t>
      </w:r>
    </w:p>
    <w:p>
      <w:pPr>
        <w:pStyle w:val="BodyText"/>
      </w:pPr>
      <w:r>
        <w:t xml:space="preserve">[28] Bloomberg. (2026, May 31).</w:t>
      </w:r>
      <w:r>
        <w:t xml:space="preserve"> </w:t>
      </w:r>
      <w:r>
        <w:rPr>
          <w:i/>
          <w:iCs/>
        </w:rPr>
        <w:t xml:space="preserve">Berkshire Hathaway to buy Taylor Morrison for $6.8 billion</w:t>
      </w:r>
      <w:r>
        <w:t xml:space="preserve">. Bloomberg. https://www.bloomberg.com/news/articles/2026-05-31/berkshire-hathaway-to-buy-taylor-morrison-for-6-8-billion</w:t>
      </w:r>
    </w:p>
    <w:p>
      <w:r>
        <w:pict>
          <v:rect style="width:0;height:1.5pt" o:hralign="center" o:hrstd="t" o:hr="t"/>
        </w:pict>
      </w:r>
    </w:p>
    <w:bookmarkEnd w:id="24"/>
    <w:bookmarkStart w:id="25" w:name="x-energy提交首份上市后8-k2026年一季度业绩与小型模块化反应堆进展"/>
    <w:p>
      <w:pPr>
        <w:pStyle w:val="Heading3"/>
      </w:pPr>
      <w:r>
        <w:rPr>
          <w:rFonts w:hint="eastAsia"/>
        </w:rPr>
        <w:t xml:space="preserve">X-Energy提交首份上市后8-K：2026年一季度业绩与小型模块化反应堆进展</w:t>
      </w:r>
    </w:p>
    <w:p>
      <w:pPr>
        <w:pStyle w:val="FirstParagraph"/>
      </w:pPr>
      <w:r>
        <w:rPr>
          <w:rFonts w:hint="eastAsia"/>
        </w:rPr>
        <w:t xml:space="preserve">先进核能企业X-Energy,</w:t>
      </w:r>
      <w:r>
        <w:t xml:space="preserve"> </w:t>
      </w:r>
      <w:r>
        <w:rPr>
          <w:rFonts w:hint="eastAsia"/>
        </w:rPr>
        <w:t xml:space="preserve">Inc.（NYSE:</w:t>
      </w:r>
      <w:r>
        <w:t xml:space="preserve"> </w:t>
      </w:r>
      <w:r>
        <w:rPr>
          <w:rFonts w:hint="eastAsia"/>
        </w:rPr>
        <w:t xml:space="preserve">XE）于2026年6月4日向美国证券交易委员会提交8-K文件，披露公司自2026年4月以每股23美元在纳斯达克上市以来的首份季度业绩</w:t>
      </w:r>
      <w:r>
        <w:t xml:space="preserve"> </w:t>
      </w:r>
      <w:r>
        <w:rPr>
          <w:rFonts w:hint="eastAsia"/>
        </w:rPr>
        <w:t xml:space="preserve">[29]。首席财务官（CFO）Daniel</w:t>
      </w:r>
      <w:r>
        <w:t xml:space="preserve"> </w:t>
      </w:r>
      <w:r>
        <w:rPr>
          <w:rFonts w:hint="eastAsia"/>
        </w:rPr>
        <w:t xml:space="preserve">Gross签署的文件汇总了一季度的关键运营里程碑：1月与SGL</w:t>
      </w:r>
      <w:r>
        <w:t xml:space="preserve"> </w:t>
      </w:r>
      <w:r>
        <w:rPr>
          <w:rFonts w:hint="eastAsia"/>
        </w:rPr>
        <w:t xml:space="preserve">Carbon签署为期10年的石墨供应协议；2月获得美国核管会（NRC）授予的TRISO-X第二类（Category</w:t>
      </w:r>
      <w:r>
        <w:t xml:space="preserve"> </w:t>
      </w:r>
      <w:r>
        <w:rPr>
          <w:rFonts w:hint="eastAsia"/>
        </w:rPr>
        <w:t xml:space="preserve">II）许可证；3月与日本IHI</w:t>
      </w:r>
      <w:r>
        <w:t xml:space="preserve"> </w:t>
      </w:r>
      <w:r>
        <w:rPr>
          <w:rFonts w:hint="eastAsia"/>
        </w:rPr>
        <w:t xml:space="preserve">Corporation签署供应链谅解备忘录；以及拟于6月在英国提交通用设计评估（Generic</w:t>
      </w:r>
      <w:r>
        <w:t xml:space="preserve"> Design </w:t>
      </w:r>
      <w:r>
        <w:rPr>
          <w:rFonts w:hint="eastAsia"/>
        </w:rPr>
        <w:t xml:space="preserve">Assessment）申请</w:t>
      </w:r>
      <w:r>
        <w:t xml:space="preserve"> [29]。</w:t>
      </w:r>
    </w:p>
    <w:p>
      <w:pPr>
        <w:pStyle w:val="BodyText"/>
      </w:pPr>
      <w:r>
        <w:rPr>
          <w:rFonts w:hint="eastAsia"/>
        </w:rPr>
        <w:t xml:space="preserve">公司首席执行官J.</w:t>
      </w:r>
      <w:r>
        <w:t xml:space="preserve"> Clay </w:t>
      </w:r>
      <w:r>
        <w:rPr>
          <w:rFonts w:hint="eastAsia"/>
        </w:rPr>
        <w:t xml:space="preserve">Sell在文件中表示：“作为一家上市公司的首份业绩公告标志着X-Energy的重要时刻，反映出我们在将先进核技术规模化商业化方面所取得的进展。”</w:t>
      </w:r>
      <w:r>
        <w:t xml:space="preserve"> [29] </w:t>
      </w:r>
      <w:r>
        <w:rPr>
          <w:rFonts w:hint="eastAsia"/>
        </w:rPr>
        <w:t xml:space="preserve">业绩重点指向其Xe-100小型模块化反应堆（Small</w:t>
      </w:r>
      <w:r>
        <w:t xml:space="preserve"> Modular Reactor, </w:t>
      </w:r>
      <w:r>
        <w:rPr>
          <w:rFonts w:hint="eastAsia"/>
        </w:rPr>
        <w:t xml:space="preserve">SMR）燃料的商业化生产路径</w:t>
      </w:r>
      <w:r>
        <w:t xml:space="preserve"> [29]。</w:t>
      </w:r>
    </w:p>
    <w:p>
      <w:pPr>
        <w:pStyle w:val="BodyText"/>
      </w:pPr>
      <w:r>
        <w:rPr>
          <w:rFonts w:hint="eastAsia"/>
        </w:rPr>
        <w:t xml:space="preserve">StockTitan指出，作为2026年纳斯达克SMR板块的首支重要新股，X-Energy的首份完整季度披露有助于市场量化其商业化路线图与监管节奏，并为其它处于上市筹备阶段的SMR厂商提供估值锚</w:t>
      </w:r>
      <w:r>
        <w:t xml:space="preserve"> [30]。</w:t>
      </w:r>
    </w:p>
    <w:p>
      <w:pPr>
        <w:pStyle w:val="BodyText"/>
      </w:pPr>
      <w:r>
        <w:rPr>
          <w:b/>
          <w:bCs/>
        </w:rPr>
        <w:t xml:space="preserve">References</w:t>
      </w:r>
    </w:p>
    <w:p>
      <w:pPr>
        <w:pStyle w:val="BodyText"/>
      </w:pPr>
      <w:r>
        <w:t xml:space="preserve">[29] X-Energy, Inc. (2026, June 4).</w:t>
      </w:r>
      <w:r>
        <w:t xml:space="preserve"> </w:t>
      </w:r>
      <w:r>
        <w:rPr>
          <w:i/>
          <w:iCs/>
        </w:rPr>
        <w:t xml:space="preserve">Current report on Form 8-K</w:t>
      </w:r>
      <w:r>
        <w:t xml:space="preserve">. U.S. Securities and Exchange Commission. https://www.sec.gov/Archives/edgar/data/0002088896/000119312526256369/xe-20260604.htm</w:t>
      </w:r>
    </w:p>
    <w:p>
      <w:pPr>
        <w:pStyle w:val="BodyText"/>
      </w:pPr>
      <w:r>
        <w:t xml:space="preserve">[30] StockTitan. (2026, June 4).</w:t>
      </w:r>
      <w:r>
        <w:t xml:space="preserve"> </w:t>
      </w:r>
      <w:r>
        <w:rPr>
          <w:i/>
          <w:iCs/>
        </w:rPr>
        <w:t xml:space="preserve">X-Energy Inc reports material event (8-K)</w:t>
      </w:r>
      <w:r>
        <w:t xml:space="preserve">. StockTitan. https://www.stocktitan.net/sec-filings/XE/8-k-x-energy-inc-reports-material-event-81728d42cae6.html</w:t>
      </w:r>
    </w:p>
    <w:p>
      <w:r>
        <w:pict>
          <v:rect style="width:0;height:1.5pt" o:hralign="center" o:hrstd="t" o:hr="t"/>
        </w:pict>
      </w:r>
    </w:p>
    <w:bookmarkEnd w:id="25"/>
    <w:bookmarkEnd w:id="26"/>
    <w:bookmarkStart w:id="28" w:name="六其他重要事件"/>
    <w:p>
      <w:pPr>
        <w:pStyle w:val="Heading2"/>
      </w:pPr>
      <w:r>
        <w:rPr>
          <w:rFonts w:hint="eastAsia"/>
        </w:rPr>
        <w:t xml:space="preserve">六、其他重要事件</w:t>
      </w:r>
    </w:p>
    <w:bookmarkStart w:id="27" w:name="天安门事件37周年中美外交言辞激烈交锋台湾呼吁历史清算"/>
    <w:p>
      <w:pPr>
        <w:pStyle w:val="Heading3"/>
      </w:pPr>
      <w:r>
        <w:rPr>
          <w:rFonts w:hint="eastAsia"/>
        </w:rPr>
        <w:t xml:space="preserve">天安门事件37周年：中美外交言辞激烈交锋，台湾呼吁历史清算</w:t>
      </w:r>
    </w:p>
    <w:p>
      <w:pPr>
        <w:pStyle w:val="FirstParagraph"/>
      </w:pPr>
      <w:r>
        <w:rPr>
          <w:rFonts w:hint="eastAsia"/>
        </w:rPr>
        <w:t xml:space="preserve">2026年6月4日恰逢1989年6月4日天安门事件37周年，中美双方围绕该议题展开激烈交锋</w:t>
      </w:r>
      <w:r>
        <w:t xml:space="preserve"> </w:t>
      </w:r>
      <w:r>
        <w:rPr>
          <w:rFonts w:hint="eastAsia"/>
        </w:rPr>
        <w:t xml:space="preserve">[31]。美国国务卿马尔科·鲁比奥（Marco</w:t>
      </w:r>
      <w:r>
        <w:t xml:space="preserve"> </w:t>
      </w:r>
      <w:r>
        <w:rPr>
          <w:rFonts w:hint="eastAsia"/>
        </w:rPr>
        <w:t xml:space="preserve">Rubio）于6月3日发表声明，称“审查无法抹除1989年北京针对亲民主抗议者的军事行动在公众记忆中的存在”，并强调中国“无法审查”这一历史事件</w:t>
      </w:r>
      <w:r>
        <w:t xml:space="preserve"> [31][32]。</w:t>
      </w:r>
    </w:p>
    <w:p>
      <w:pPr>
        <w:pStyle w:val="BodyText"/>
      </w:pPr>
      <w:r>
        <w:rPr>
          <w:rFonts w:hint="eastAsia"/>
        </w:rPr>
        <w:t xml:space="preserve">中国外交部发言人毛宁随即作出强硬回应，指责美方利用历史议题干涉中国内政</w:t>
      </w:r>
      <w:r>
        <w:t xml:space="preserve"> </w:t>
      </w:r>
      <w:r>
        <w:rPr>
          <w:rFonts w:hint="eastAsia"/>
        </w:rPr>
        <w:t xml:space="preserve">[31]。台湾总统赖清德亦发表声明，呼吁两岸社会进行历史反思，并将事件定位为推动民主深化的“道德锚”</w:t>
      </w:r>
      <w:r>
        <w:t xml:space="preserve"> [31]。</w:t>
      </w:r>
    </w:p>
    <w:p>
      <w:pPr>
        <w:pStyle w:val="BodyText"/>
      </w:pPr>
      <w:r>
        <w:t xml:space="preserve">US News &amp; World </w:t>
      </w:r>
      <w:r>
        <w:rPr>
          <w:rFonts w:hint="eastAsia"/>
        </w:rPr>
        <w:t xml:space="preserve">Report指出，鲁比奥的措辞较此前几位国务卿在同一议题上的声明更为直接，反映美方在当前对华战略竞争语境下重新激活历史叙事的政策选择；而毛宁的回应延续了北京近年来在西方政府主动提及1989年事件时一贯采取的“反干涉”立场</w:t>
      </w:r>
      <w:r>
        <w:t xml:space="preserve"> </w:t>
      </w:r>
      <w:r>
        <w:rPr>
          <w:rFonts w:hint="eastAsia"/>
        </w:rPr>
        <w:t xml:space="preserve">[32]。在中美贸易、科技与对台政策多重摩擦的背景下，本次外交交锋虽未导致实质性政策升级，但凸显双方在意识形态议题上的战略分歧难以弥合</w:t>
      </w:r>
      <w:r>
        <w:t xml:space="preserve"> [31][32]。</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[31] Modern Diplomacy. (2026, June 4).</w:t>
      </w:r>
      <w:r>
        <w:t xml:space="preserve"> </w:t>
      </w:r>
      <w:r>
        <w:rPr>
          <w:i/>
          <w:iCs/>
        </w:rPr>
        <w:t xml:space="preserve">US and China clash over Tiananmen anniversary as Taiwan urges historical reckoning</w:t>
      </w:r>
      <w:r>
        <w:t xml:space="preserve">. Modern Diplomacy. https://moderndiplomacy.eu/2026/06/04/us-and-china-clash-over-tiananmen-anniversary-as-taiwan-urges-historical-reckoning/</w:t>
      </w:r>
    </w:p>
    <w:p>
      <w:pPr>
        <w:pStyle w:val="BodyText"/>
      </w:pPr>
      <w:r>
        <w:t xml:space="preserve">[32] U.S. News &amp; World Report. (2026, June 3).</w:t>
      </w:r>
      <w:r>
        <w:t xml:space="preserve"> </w:t>
      </w:r>
      <w:r>
        <w:rPr>
          <w:i/>
          <w:iCs/>
        </w:rPr>
        <w:t xml:space="preserve">Rubio says China cannot censor memory of Tiananmen Square crackdown</w:t>
      </w:r>
      <w:r>
        <w:t xml:space="preserve">. U.S. News &amp; World Report. https://www.usnews.com/news/world/articles/2026-06-03/rubio-says-china-cannot-censor-memory-of-tiananmen-square-crackdown</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2026-06-04T12:46:49Z</dcterms:created>
  <dcterms:modified xsi:type="dcterms:W3CDTF">2026-06-04T12:46:49Z</dcterms:modified>
</cp:coreProperties>
</file>

<file path=docProps/custom.xml><?xml version="1.0" encoding="utf-8"?>
<Properties xmlns="http://schemas.openxmlformats.org/officeDocument/2006/custom-properties" xmlns:vt="http://schemas.openxmlformats.org/officeDocument/2006/docPropsVTypes"/>
</file>