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2026年7月7日</w:t>
      </w:r>
    </w:p>
    <w:p/>
    <w:p>
      <w:pPr>
        <w:pStyle w:val="ListParagraph"/>
        <w:numPr>
          <w:ilvl w:val="0"/>
          <w:numId w:val="8"/>
        </w:numPr>
      </w:pPr>
      <w:r>
        <w:rPr>
          <w:rFonts w:ascii="FangSong_GB2312" w:hAnsi="FangSong_GB2312" w:eastAsia="FangSong_GB2312"/>
          <w:b/>
          <w:sz w:val="21"/>
        </w:rPr>
        <w:t>特朗普在安卡拉北约峰会施压盟友加速兑现5%军费目标</w:t>
      </w:r>
    </w:p>
    <w:p>
      <w:pPr>
        <w:pStyle w:val="ListParagraph"/>
        <w:numPr>
          <w:ilvl w:val="0"/>
          <w:numId w:val="8"/>
        </w:numPr>
      </w:pPr>
      <w:r>
        <w:rPr>
          <w:rFonts w:ascii="FangSong_GB2312" w:hAnsi="FangSong_GB2312" w:eastAsia="FangSong_GB2312"/>
          <w:b/>
          <w:sz w:val="21"/>
        </w:rPr>
        <w:t>SpaceX上市15个交易日闪电纳入纳指100 触发43亿美元被动买盘</w:t>
      </w:r>
    </w:p>
    <w:p>
      <w:pPr>
        <w:pStyle w:val="ListParagraph"/>
        <w:numPr>
          <w:ilvl w:val="0"/>
          <w:numId w:val="8"/>
        </w:numPr>
      </w:pPr>
      <w:r>
        <w:rPr>
          <w:rFonts w:ascii="FangSong_GB2312" w:hAnsi="FangSong_GB2312" w:eastAsia="FangSong_GB2312"/>
          <w:b/>
          <w:sz w:val="21"/>
        </w:rPr>
        <w:t>美国5月贸易逆差扩大230亿美元至776亿 进口激增</w:t>
      </w:r>
    </w:p>
    <w:p>
      <w:pPr>
        <w:pStyle w:val="ListParagraph"/>
        <w:numPr>
          <w:ilvl w:val="0"/>
          <w:numId w:val="8"/>
        </w:numPr>
      </w:pPr>
      <w:r>
        <w:rPr>
          <w:rFonts w:ascii="FangSong_GB2312" w:hAnsi="FangSong_GB2312" w:eastAsia="FangSong_GB2312"/>
          <w:b/>
          <w:sz w:val="21"/>
        </w:rPr>
        <w:t>英国央行首将AI列为金融稳定重大风险 同步放松银行资本要求</w:t>
      </w:r>
    </w:p>
    <w:p>
      <w:pPr>
        <w:pStyle w:val="ListParagraph"/>
        <w:numPr>
          <w:ilvl w:val="0"/>
          <w:numId w:val="8"/>
        </w:numPr>
      </w:pPr>
      <w:r>
        <w:rPr>
          <w:rFonts w:ascii="FangSong_GB2312" w:hAnsi="FangSong_GB2312" w:eastAsia="FangSong_GB2312"/>
          <w:b/>
          <w:sz w:val="21"/>
        </w:rPr>
        <w:t>英国预算责任办公室警告公共债务将"爆炸式"增长</w:t>
      </w:r>
    </w:p>
    <w:p>
      <w:pPr>
        <w:pStyle w:val="ListParagraph"/>
        <w:numPr>
          <w:ilvl w:val="0"/>
          <w:numId w:val="8"/>
        </w:numPr>
      </w:pPr>
      <w:r>
        <w:rPr>
          <w:rFonts w:ascii="FangSong_GB2312" w:hAnsi="FangSong_GB2312" w:eastAsia="FangSong_GB2312"/>
          <w:b/>
          <w:sz w:val="21"/>
        </w:rPr>
        <w:t>勒庞挪用欧洲议会资金定罪二审维持 2027参选路受阻</w:t>
      </w:r>
    </w:p>
    <w:p>
      <w:pPr>
        <w:pStyle w:val="ListParagraph"/>
        <w:numPr>
          <w:ilvl w:val="0"/>
          <w:numId w:val="8"/>
        </w:numPr>
      </w:pPr>
      <w:r>
        <w:rPr>
          <w:rFonts w:ascii="FangSong_GB2312" w:hAnsi="FangSong_GB2312" w:eastAsia="FangSong_GB2312"/>
          <w:b/>
          <w:sz w:val="21"/>
        </w:rPr>
        <w:t>德国5月工业产出环比升0.9% 汽车业领涨3.6%</w:t>
      </w:r>
    </w:p>
    <w:p>
      <w:pPr>
        <w:pStyle w:val="ListParagraph"/>
        <w:numPr>
          <w:ilvl w:val="0"/>
          <w:numId w:val="8"/>
        </w:numPr>
      </w:pPr>
      <w:r>
        <w:rPr>
          <w:rFonts w:ascii="FangSong_GB2312" w:hAnsi="FangSong_GB2312" w:eastAsia="FangSong_GB2312"/>
          <w:b/>
          <w:sz w:val="21"/>
        </w:rPr>
        <w:t>三星创纪录利润却市值蒸发逾千亿美元 引发亚洲芯片抛售</w:t>
      </w:r>
    </w:p>
    <w:p>
      <w:pPr>
        <w:pStyle w:val="ListParagraph"/>
        <w:numPr>
          <w:ilvl w:val="0"/>
          <w:numId w:val="8"/>
        </w:numPr>
      </w:pPr>
      <w:r>
        <w:rPr>
          <w:rFonts w:ascii="FangSong_GB2312" w:hAnsi="FangSong_GB2312" w:eastAsia="FangSong_GB2312"/>
          <w:b/>
          <w:sz w:val="21"/>
        </w:rPr>
        <w:t>中国债市汇市与全球脱钩 外资加速流入人民币资产</w:t>
      </w:r>
    </w:p>
    <w:p>
      <w:pPr>
        <w:pStyle w:val="ListParagraph"/>
        <w:numPr>
          <w:ilvl w:val="0"/>
          <w:numId w:val="8"/>
        </w:numPr>
      </w:pPr>
      <w:r>
        <w:rPr>
          <w:rFonts w:ascii="FangSong_GB2312" w:hAnsi="FangSong_GB2312" w:eastAsia="FangSong_GB2312"/>
          <w:b/>
          <w:sz w:val="21"/>
        </w:rPr>
        <w:t>潘功胜将南向债券通额度提升至8000亿元 香港推黄金中央清算</w:t>
      </w:r>
    </w:p>
    <w:p>
      <w:pPr>
        <w:pStyle w:val="ListParagraph"/>
        <w:numPr>
          <w:ilvl w:val="0"/>
          <w:numId w:val="8"/>
        </w:numPr>
      </w:pPr>
      <w:r>
        <w:rPr>
          <w:rFonts w:ascii="FangSong_GB2312" w:hAnsi="FangSong_GB2312" w:eastAsia="FangSong_GB2312"/>
          <w:b/>
          <w:sz w:val="21"/>
        </w:rPr>
        <w:t>腾讯15亿美元大宗减持快手降至10%以下 加码AI布局</w:t>
      </w:r>
    </w:p>
    <w:p>
      <w:pPr>
        <w:pStyle w:val="ListParagraph"/>
        <w:numPr>
          <w:ilvl w:val="0"/>
          <w:numId w:val="8"/>
        </w:numPr>
      </w:pPr>
      <w:r>
        <w:rPr>
          <w:rFonts w:ascii="FangSong_GB2312" w:hAnsi="FangSong_GB2312" w:eastAsia="FangSong_GB2312"/>
          <w:b/>
          <w:sz w:val="21"/>
        </w:rPr>
        <w:t>中国潜射弹道导弹试射南太平洋 引周边国家关切</w:t>
      </w:r>
    </w:p>
    <w:p>
      <w:pPr>
        <w:pStyle w:val="ListParagraph"/>
        <w:numPr>
          <w:ilvl w:val="0"/>
          <w:numId w:val="8"/>
        </w:numPr>
      </w:pPr>
      <w:r>
        <w:rPr>
          <w:rFonts w:ascii="FangSong_GB2312" w:hAnsi="FangSong_GB2312" w:eastAsia="FangSong_GB2312"/>
          <w:b/>
          <w:sz w:val="21"/>
        </w:rPr>
        <w:t>日本30年期国债招标需求稳固 长端收益率逼近4%</w:t>
      </w:r>
    </w:p>
    <w:p>
      <w:pPr>
        <w:pStyle w:val="ListParagraph"/>
        <w:numPr>
          <w:ilvl w:val="0"/>
          <w:numId w:val="8"/>
        </w:numPr>
      </w:pPr>
      <w:r>
        <w:rPr>
          <w:rFonts w:ascii="FangSong_GB2312" w:hAnsi="FangSong_GB2312" w:eastAsia="FangSong_GB2312"/>
          <w:b/>
          <w:sz w:val="21"/>
        </w:rPr>
        <w:t>SK海力士启动280亿美元纳斯达克ADR上市 或成外企最大规模美股发行</w:t>
      </w:r>
    </w:p>
    <w:p/>
    <w:p/>
    <w:p>
      <w:r>
        <w:rPr>
          <w:rFonts w:ascii="FangSong_GB2312" w:hAnsi="FangSong_GB2312" w:eastAsia="FangSong_GB2312"/>
          <w:b/>
          <w:sz w:val="24"/>
        </w:rPr>
        <w:t>1.特朗普在安卡拉北约峰会施压盟友加速兑现5%军费目标</w:t>
      </w:r>
    </w:p>
    <w:p>
      <w:r>
        <w:rPr>
          <w:rFonts w:ascii="FangSong_GB2312" w:hAnsi="FangSong_GB2312" w:eastAsia="FangSong_GB2312"/>
          <w:b w:val="0"/>
          <w:sz w:val="21"/>
        </w:rPr>
        <w:t>美国总统唐纳德·特朗普（Donald Trump）7月7日在土耳其安卡拉召开的2026年北约峰会上，敦促全部32个成员国加快将国防开支提升至GDP的5%，要求盟友尽快而非等待十年达标。5%目标由特朗普一年前在海牙峰会促成，结构为3.5%用于核心军事开支、1.5%用于广义安全，截止期定为2035年；此次安卡拉峰会由土耳其总统雷杰普·塔伊普·埃尔多安（Recep Tayyip Erdoğan）主办、秘书长马克·吕特（Mark Rutte）主持，会议前一天俄罗斯对基辅的空袭造成至少11人死亡。北约承诺2026年向乌克兰提供700亿欧元军事装备，并在配套防务工业论坛宣布400亿美元集体反无人机投资。乌克兰总统弗拉基米尔·泽连斯基（Volodymyr Zelenskyy）出席全部会议，并计划借与特朗普的双边会晤争取更多"爱国者"防空系统；特朗普还将会见叙利亚领导人艾哈迈德·沙拉（Ahmad al-Sharaa）。吕特称："摆在面前的任务很明确：把盟友的承诺转化为具体成果。" [1]</w:t>
      </w:r>
    </w:p>
    <w:p/>
    <w:p>
      <w:r>
        <w:rPr>
          <w:rFonts w:ascii="FangSong_GB2312" w:hAnsi="FangSong_GB2312" w:eastAsia="FangSong_GB2312"/>
          <w:b/>
          <w:sz w:val="24"/>
        </w:rPr>
        <w:t>2.SpaceX上市15个交易日闪电纳入纳指100 触发43亿美元被动买盘</w:t>
      </w:r>
    </w:p>
    <w:p>
      <w:r>
        <w:rPr>
          <w:rFonts w:ascii="FangSong_GB2312" w:hAnsi="FangSong_GB2312" w:eastAsia="FangSong_GB2312"/>
          <w:b w:val="0"/>
          <w:sz w:val="21"/>
        </w:rPr>
        <w:t>SpaceX于2026年7月7日正式纳入纳斯达克100指数，距其6月12日以约750亿美元募资规模、史上最大IPO登陆资本市场仅15个交易日——这一速度在指数旧规则下机械上不可能实现。根据纳斯达克2026年5月1日生效的新方法，任何按市值排名前40的新上市公司可在15个交易日后入指，最低流通股要求被彻底取消；SpaceX是首个动用这一为超大市值上市专门设计的"快速纳入"规则的公司。纳入触发被动资金买入，摩根大通估算追踪指数的ETF（如Invesco QQQ Trust）再平衡将带来约43亿美元被动流入。由于IPO后仅约4%股份自由流通、大部分仍被内部人锁定，这一买盘属强制性而非信心投票。SpaceX仍无法进入标普500，后者保留了12个月的存续期与GAAP盈利要求，将其挡在门外至少到2027年年中。 [2]</w:t>
      </w:r>
    </w:p>
    <w:p/>
    <w:p>
      <w:r>
        <w:rPr>
          <w:rFonts w:ascii="FangSong_GB2312" w:hAnsi="FangSong_GB2312" w:eastAsia="FangSong_GB2312"/>
          <w:b/>
          <w:sz w:val="24"/>
        </w:rPr>
        <w:t>3.美国5月贸易逆差扩大230亿美元至776亿 进口激增</w:t>
      </w:r>
    </w:p>
    <w:p>
      <w:r>
        <w:rPr>
          <w:rFonts w:ascii="FangSong_GB2312" w:hAnsi="FangSong_GB2312" w:eastAsia="FangSong_GB2312"/>
          <w:b w:val="0"/>
          <w:sz w:val="21"/>
        </w:rPr>
        <w:t>美国商品与服务贸易逆差5月扩大至776亿美元，较修正后4月的546亿美元增加230亿美元，美国经济分析局与人口普查局7月7日东部时间上午8:30公布。这一跳升逆转了此前数月的收窄，几乎全部由进口激增驱动：5月进口增加125亿美元至3953亿美元，其中商品逆差单项扩大236亿美元至1065亿美元，服务顺差小幅上升6亿美元至289亿美元，符合进口商为抢在关税生效前提前发货的"抢跑"模式。但更长周期仍显收缩：按年初至今计算，逆差同比减少2039亿美元或40.6%，出口增长11.7%，进口下降2.1%。贸易是GDP的直接输入项，5月商品缺口扩大将拖累净出口，并纳入二季度增长测算。 [3]</w:t>
      </w:r>
    </w:p>
    <w:p/>
    <w:p>
      <w:r>
        <w:rPr>
          <w:rFonts w:ascii="FangSong_GB2312" w:hAnsi="FangSong_GB2312" w:eastAsia="FangSong_GB2312"/>
          <w:b/>
          <w:sz w:val="24"/>
        </w:rPr>
        <w:t>4.英国央行首将AI列为金融稳定重大风险 同步放松银行资本要求</w:t>
      </w:r>
    </w:p>
    <w:p>
      <w:r>
        <w:rPr>
          <w:rFonts w:ascii="FangSong_GB2312" w:hAnsi="FangSong_GB2312" w:eastAsia="FangSong_GB2312"/>
          <w:b w:val="0"/>
          <w:sz w:val="21"/>
        </w:rPr>
        <w:t>英格兰银行在7月7日发布的《金融稳定报告》中将人工智能列为对金融稳定的"日益增长的风险"，这是该报告首次将AI提升为头号系统性关切。央行的担忧具体而明确：前沿AI模型已有能力利用软件漏洞，抬升针对银行与市场基础设施网络攻击的复杂度与影响；报告并指出行业依赖少数云与模型供应商带来的集中度风险，警告日益具备自主性的AI驱动交易系统可能以无单一交易台可控的相关方式放大冲击。副行长莎拉·布里登（Sarah Breeden）呼吁为AI量身定制监管而非将该技术嫁接到现有规则上。与风险警告并行的是松绑：审慎监管局计划在重构的资本缓冲框架下，将大型以本土业务为主的英国银行杠杆要求降低约20个基点，部分回撤2007年后危机时期的规则；央行同时强调英国放贷机构与家庭仍具韧性，AI相关压力测试结果预计于2026年四季度更新。 [4]</w:t>
      </w:r>
    </w:p>
    <w:p/>
    <w:p>
      <w:r>
        <w:rPr>
          <w:rFonts w:ascii="FangSong_GB2312" w:hAnsi="FangSong_GB2312" w:eastAsia="FangSong_GB2312"/>
          <w:b/>
          <w:sz w:val="24"/>
        </w:rPr>
        <w:t>5.英国预算责任办公室警告公共债务将"爆炸式"增长</w:t>
      </w:r>
    </w:p>
    <w:p>
      <w:r>
        <w:rPr>
          <w:rFonts w:ascii="FangSong_GB2312" w:hAnsi="FangSong_GB2312" w:eastAsia="FangSong_GB2312"/>
          <w:b w:val="0"/>
          <w:sz w:val="21"/>
        </w:rPr>
        <w:t>英国预算责任办公室（OBR）在7月7日发布的《财政风险与可持续性》报告中警告，若不采取纠正行动，英国公共债务将"爆炸式"增长，这是这家财政监督机构自2023年以来对长期预测的首次全面更新。其模拟的几乎所有50年期情景都显示债务走上不可持续路径，压力层层叠加：人口老龄化推高NHS与社会照护成本、债务利息账单上升、气候转型的财政负担，以及北约3% GDP目标下更高的国防开支。监督机构将其数据定性为警告而非预测——预期未来政府会在债务达到该水平前采取行动——但警告拖延纠正越久，所需的加税或削支规模越大，转嫁给后代的负担越重。报告直接压在财政大臣雷切尔·里夫斯（Rachel Reeves）身上，她面临2026年10月一份财政回旋余地有限的预算案。 [5]</w:t>
      </w:r>
    </w:p>
    <w:p/>
    <w:p>
      <w:r>
        <w:rPr>
          <w:rFonts w:ascii="FangSong_GB2312" w:hAnsi="FangSong_GB2312" w:eastAsia="FangSong_GB2312"/>
          <w:b/>
          <w:sz w:val="24"/>
        </w:rPr>
        <w:t>6.勒庞挪用欧洲议会资金定罪二审维持 2027参选路受阻</w:t>
      </w:r>
    </w:p>
    <w:p>
      <w:r>
        <w:rPr>
          <w:rFonts w:ascii="FangSong_GB2312" w:hAnsi="FangSong_GB2312" w:eastAsia="FangSong_GB2312"/>
          <w:b w:val="0"/>
          <w:sz w:val="21"/>
        </w:rPr>
        <w:t>巴黎上诉法院7月7日维持了玛丽娜·勒庞（Marine Le Pen）挪用欧洲议会资金的定罪，原则上确认一项为期五年的公职禁令，这将使这位"国民联盟"（RN）领导人无法参加2027年总统大选。该案核心是长期悬而未决的"国民阵线助理事件"，即RN工作人员与欧洲议会议员在2004至2016年间领取欧洲议会预算却从事党务工作。法院修改了量刑，缩短了失去被选举资格的期限，为2027年参选留下一条狭窄通道，并处以电子脚镣。勒庞此前曾表示，即便只有脚镣令得以保留她也不会在2027年参选，并称："无论发生什么，我都不会就此消亡；无论发生什么，我都将继续战斗。"若禁令最终维持，RN普遍预计将转向党主席若尔当·巴尔德拉（Jordan Bardella）作为总统候选人。 [6]</w:t>
      </w:r>
    </w:p>
    <w:p/>
    <w:p>
      <w:r>
        <w:rPr>
          <w:rFonts w:ascii="FangSong_GB2312" w:hAnsi="FangSong_GB2312" w:eastAsia="FangSong_GB2312"/>
          <w:b/>
          <w:sz w:val="24"/>
        </w:rPr>
        <w:t>7.德国5月工业产出环比升0.9% 汽车业领涨3.6%</w:t>
      </w:r>
    </w:p>
    <w:p>
      <w:r>
        <w:rPr>
          <w:rFonts w:ascii="FangSong_GB2312" w:hAnsi="FangSong_GB2312" w:eastAsia="FangSong_GB2312"/>
          <w:b w:val="0"/>
          <w:sz w:val="21"/>
        </w:rPr>
        <w:t>德国5月工业产出环比增长0.9%，是路透调查分析师预期0.2%的四倍多，对一个已陷入第三年近乎停滞的经济体是罕见的上行意外。该增幅逆转了修正后4月0.4%的收缩，由汽车业驱动，当月产出攀升3.6%。数据与5月工厂订单上升1.9%同时公布，助长了德国工业基础触底的谨慎乐观。但产出仍较2025年5月水平低0.8%，经济学家告诫不要从单月数据读出趋势转变。德国商业银行分析师拉尔夫·索尔文（Ralph Solveen）表示："一个月不构成趋势，订单数据仍指向前景需求疲软。"荷兰国际集团的卡斯滕·布热斯基（Carsten Brzeski）将这一读数定性为企稳而非复苏："德国工业部门在残酷的18个月后正在企稳，但高能源成本与中国需求疲软带来的结构性阻力尚未化解。" [7]</w:t>
      </w:r>
    </w:p>
    <w:p/>
    <w:p>
      <w:r>
        <w:rPr>
          <w:rFonts w:ascii="FangSong_GB2312" w:hAnsi="FangSong_GB2312" w:eastAsia="FangSong_GB2312"/>
          <w:b/>
          <w:sz w:val="24"/>
        </w:rPr>
        <w:t>8.三星创纪录利润却市值蒸发逾千亿美元 引发亚洲芯片抛售</w:t>
      </w:r>
    </w:p>
    <w:p>
      <w:r>
        <w:rPr>
          <w:rFonts w:ascii="FangSong_GB2312" w:hAnsi="FangSong_GB2312" w:eastAsia="FangSong_GB2312"/>
          <w:b w:val="0"/>
          <w:sz w:val="21"/>
        </w:rPr>
        <w:t>三星电子7月7日单日市值蒸发逾1000亿美元，首尔上市股票下跌约7%，即便其公布2026年二季度营业利润创纪录达89.4万亿韩元（约合580亿美元），同比暴增1810.3%，营收增长129.3%至171万亿韩元，单季利润超过2023至2025三年营业利润总和。抛售反映市场预期已跑在纪录数字之前：投资者聚焦三星在锁定与英伟达高带宽内存供应协议方面落后于SK海力士。这轮抛售引爆亚洲芯片股：韩国KOSPI指数暴跌5.82%至7582.69点并触发年内第六次熔断，外资净卖出3.75万亿韩元；日本日经225指数下跌1.35%，铠侠控股重挫10.86%。日本岩井Cosmo证券首席策略师岛田和明称："这是被扭曲市场的健康回调，市场在抛售芯片相关股、买入变便宜的价值股。"随着普通DRAM合约价企稳，内存超级周期能持续多久推升利润率引发疑问。 [8]</w:t>
      </w:r>
    </w:p>
    <w:p/>
    <w:p>
      <w:r>
        <w:rPr>
          <w:rFonts w:ascii="FangSong_GB2312" w:hAnsi="FangSong_GB2312" w:eastAsia="FangSong_GB2312"/>
          <w:b/>
          <w:sz w:val="24"/>
        </w:rPr>
        <w:t>9.中国债市汇市与全球脱钩 外资加速流入人民币资产</w:t>
      </w:r>
    </w:p>
    <w:p>
      <w:r>
        <w:rPr>
          <w:rFonts w:ascii="FangSong_GB2312" w:hAnsi="FangSong_GB2312" w:eastAsia="FangSong_GB2312"/>
          <w:b w:val="0"/>
          <w:sz w:val="21"/>
        </w:rPr>
        <w:t>自2月底中东冲突爆发以来，中国10年期国债收益率下跌近10个基点至1.73%，同期美国10年期收益率上升51个基点，这一背离使中国债市成为该时段全球表现最强的市场。人民币12个月内对美元升值5.4%，触及每美元6.7522的3.5年高位，是唯一在该窗口内对美元走强的主要货币；内地蓝筹股上半年以美元计上涨约11%。资金正在跟进：中国债市5月录得一年多来首次外资净流入，境外投资者持有的境内A股从2025年底约3.67万亿元增至逾4万亿元。景顺的克里斯托弗·汉密尔顿（Christopher Hamilton）表示："中国在投资组合中的角色正从简单的新兴市场增长配置，演变为更为细腻的多元化来源。"Rayliant投资组合管理主管Phillip Wool称："我们长期视中国市场、尤其境内上市的A股为稀缺的多元化来源，如今在此之上还叠加了一场真实发生的经济脱钩。"以基准7天逆回购利率1.40%、沪深300指数在4842点附近计，高盛给出12个月沪深300目标5300点。 [9]</w:t>
      </w:r>
    </w:p>
    <w:p/>
    <w:p>
      <w:r>
        <w:rPr>
          <w:rFonts w:ascii="FangSong_GB2312" w:hAnsi="FangSong_GB2312" w:eastAsia="FangSong_GB2312"/>
          <w:b/>
          <w:sz w:val="24"/>
        </w:rPr>
        <w:t>10.潘功胜将南向债券通额度提升至8000亿元 香港推黄金中央清算</w:t>
      </w:r>
    </w:p>
    <w:p>
      <w:r>
        <w:rPr>
          <w:rFonts w:ascii="FangSong_GB2312" w:hAnsi="FangSong_GB2312" w:eastAsia="FangSong_GB2312"/>
          <w:b w:val="0"/>
          <w:sz w:val="21"/>
        </w:rPr>
        <w:t>中国人民银行行长潘功胜7月7日在香港的FIC与债券通峰会上宣布，南向债券通年度净投资额度将从5000亿元扩大至8000亿元（约合1178亿美元），拓宽内地投资者购买离岸债券的渠道；合资格产品扩展至包括港元债券及相关人民币资产，范围现延伸至澳门债券市场，中国国家外汇储备将增加对香港金融市场跨资产类别的配置。与额度举措并行，人民币业务融资安排将增逾一倍至5000亿元（740亿美元），通过金管局贷款赋予本地银行更大的人民币获取能力。香港行政长官李家超同步宣布，由政府全资拥有的香港贵金属中央结算有限公司推出黄金试点中央清算系统，作为与上海黄金交易所共同开发的"交收通"首阶段，并推出与彭博合作开发的新黄金价格代码HAU。 [10]</w:t>
      </w:r>
    </w:p>
    <w:p/>
    <w:p>
      <w:r>
        <w:rPr>
          <w:rFonts w:ascii="FangSong_GB2312" w:hAnsi="FangSong_GB2312" w:eastAsia="FangSong_GB2312"/>
          <w:b/>
          <w:sz w:val="24"/>
        </w:rPr>
        <w:t>11.腾讯15亿美元大宗减持快手降至10%以下 加码AI布局</w:t>
      </w:r>
    </w:p>
    <w:p>
      <w:r>
        <w:rPr>
          <w:rFonts w:ascii="FangSong_GB2312" w:hAnsi="FangSong_GB2312" w:eastAsia="FangSong_GB2312"/>
          <w:b w:val="0"/>
          <w:sz w:val="21"/>
        </w:rPr>
        <w:t>腾讯控股在7月6日至7日前后以每股43.25港元的场外大宗交易出售约2.7295亿股快手B类股，套现约125.6亿港元（15亿美元），为2026年香港最大宗此类大宗交易。此举将腾讯持股从15.68%降至约9.37%，跌破港交所10%主要股东门槛；快手经港交所公告确认变动，腾讯对剩余持股面临90天锁定期，高盛与摩根士丹利安排了该交易。7月7日快手股价一度下挫10.4%至35.66港元，同期恒生指数仅跌1%。此次减持处于向人工智能重新配置资本的更大布局中：数日前腾讯与CPE、中信证券联合领投快手AI部门可灵AI近30亿美元融资，投后估值180亿美元；腾讯还向DeepSeek投资15亿美元、向月之暗面投资10亿美元。可灵AI年化经常性收入三个月内从2.4亿美元增至5亿美元。 [11]</w:t>
      </w:r>
    </w:p>
    <w:p/>
    <w:p>
      <w:r>
        <w:rPr>
          <w:rFonts w:ascii="FangSong_GB2312" w:hAnsi="FangSong_GB2312" w:eastAsia="FangSong_GB2312"/>
          <w:b/>
          <w:sz w:val="24"/>
        </w:rPr>
        <w:t>12.中国潜射弹道导弹试射南太平洋 引周边国家关切</w:t>
      </w:r>
    </w:p>
    <w:p>
      <w:r>
        <w:rPr>
          <w:rFonts w:ascii="FangSong_GB2312" w:hAnsi="FangSong_GB2312" w:eastAsia="FangSong_GB2312"/>
          <w:b w:val="0"/>
          <w:sz w:val="21"/>
        </w:rPr>
        <w:t>中国人民解放军海军7月7日当地时间12:01从一艘核动力潜艇在南太平洋试射一枚远程弹道导弹。分析人士将该武器识别为射程超过10000公里的巨浪-3潜射弹道导弹，由094型（晋级）潜艇发射，携带非核惰性弹头，落入1986年《拉罗汤加条约》确立的南太平洋无核区。中国通过新华社与国防部承认此次发射，称其"属年度例行训练的一部分，符合国际法与国际实践，不针对任何国家或目标"。北京事先通知了澳大利亚、日本和新西兰，但未通知美国，且时机恰逢澳大利亚与斐济签署双边共同防御条约"和平之洋"。澳大利亚外长黄英贤（Penny Wong）称此次试射"对地区具有破坏稳定性"；美国国务院发言人托马斯·皮戈特（Thomas Pigott）表示："北京快速且不透明的核武扩张令人高度关切。"防务分析师莱尔·莫里斯（Lyle Morris）称这是中国首次公开承认、显示其海基核威慑力量抵达太平洋如此之远的试射。 [12]</w:t>
      </w:r>
    </w:p>
    <w:p/>
    <w:p>
      <w:r>
        <w:rPr>
          <w:rFonts w:ascii="FangSong_GB2312" w:hAnsi="FangSong_GB2312" w:eastAsia="FangSong_GB2312"/>
          <w:b/>
          <w:sz w:val="24"/>
        </w:rPr>
        <w:t>13.日本30年期国债招标需求稳固 长端收益率逼近4%</w:t>
      </w:r>
    </w:p>
    <w:p>
      <w:r>
        <w:rPr>
          <w:rFonts w:ascii="FangSong_GB2312" w:hAnsi="FangSong_GB2312" w:eastAsia="FangSong_GB2312"/>
          <w:b w:val="0"/>
          <w:sz w:val="21"/>
        </w:rPr>
        <w:t>日本财务省7月7日发售30年期国债，需求稳固。第91期债券票息4.0%、2056年6月到期，投标倍数约4.55倍，最低接受价对应的截止收益率落在3.996%，对一场市场数周来标记为压力测试的招标而言是干净通过。背景中的张力显著：30年期收益率近期已触及约4.08%、并于7月2日首次突破4%，为日本长端数十年未见的水平。整个夏季安排了一系列超长期招标，悬而未决的问题是随着日本央行退出其在收益率曲线控制下主导十年的债市，寿险公司等国内机构能否继续消化供给。日本央行已于2025年12月将短期政策利率上调至0.75%、为1995年以来最高，交易员现定价进一步加息。当日的投标倍数表明4%水平上仍有真实需求。 [13]</w:t>
      </w:r>
    </w:p>
    <w:p/>
    <w:p>
      <w:r>
        <w:rPr>
          <w:rFonts w:ascii="FangSong_GB2312" w:hAnsi="FangSong_GB2312" w:eastAsia="FangSong_GB2312"/>
          <w:b/>
          <w:sz w:val="24"/>
        </w:rPr>
        <w:t>14.SK海力士启动280亿美元纳斯达克ADR上市 或成外企最大规模美股发行</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SK海力士7月6日启动美国股票发行，拟通过在纳斯达克以代码SKHY发行美国存托凭证募集约43万亿韩元（280.7亿美元），启动当日从基石投资者Baillie Gifford Overseas、Coatue Management和Situational Awareness Partners获得70亿美元认购意向。指示性发行为1.779亿份ADS、每份158.14美元，参照SK海力士7月3日韩交所收盘价每股24.25万韩元；路演7月6日至9日进行，7月10日韩国时间最终定价，美银证券、花旗、高盛和摩根大通担任主承销商。该交易将使SK海力士估值达到拟定的1.2万亿美元，对应截至3月31日的12个月内849亿美元年营收；公司持有全球约60%的高带宽内存市场份额。若完成，此次发行将成为外国公司有史以来最大规模的美股上市，超过阿里巴巴2014年的250亿美元和沙特阿美2019年的256亿美元。募资将用于扩大韩国制造并购买ASML的EUV光刻设备。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https://www.cnbc.com/2026/07/07/trump-nato-turkey-russia-ukraine-spending.html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https://www.fool.com/investing/2026/07/07/spacex-joins-the-nasdaq-100-on-july-7-here-is-what/</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https://www.bea.gov/news/2026/us-international-trade-goods-and-services-may-2026</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https://www.bankofengland.co.uk/financial-stability-report/2026/july-2026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https://www.gov.uk/government/publications/fiscal-risks-and-sustainability-july-2026</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https://www.euronews.com/my-europe/2026/07/07/euronews-explains-the-verdict-that-could-end-marine-le-pen-and-launch-jordan-bardella</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https://www.investing.com/news/economic-indicators/german-industrial-production-rises-09-in-may-on-auto-sector-93CH-4778242</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https://www.euronews.com/business/2026/07/07/samsung-loses-over-100bn-in-market-value-despite-record-ai-driven-profit</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https://www.investing.com/news/economy-news/analysischina-breaks-step-with-global-markets-and-investors-buy-in-4778156</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https://investinglive.com/centralbank/pbocs-pan-lifts-southbound-bond-connect-quota-to-800bn-as-hong-kong-expands-gold-links-20260707/</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https://www.bloomberg.com/news/articles/2026-07-06/tencent-sells-1-5-billion-kuaishou-stake-as-ai-pivot-quickens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https://www.cnn.com/2026/07/06/china/china-tests-submarine-launched-ballistic-missile-intl-hnk-ml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https://www.mof.go.jp/jgbs/auction/calendar/nyusatsu/resul20260707a.htm</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https://money.usnews.com/investing/news/articles/2026-07-06/sk-hynix-launches-28-billion-us-listing-draws-7-billion-in-investor-interest</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