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2026年7月1日</w:t>
      </w:r>
    </w:p>
    <w:p/>
    <w:p>
      <w:pPr>
        <w:pStyle w:val="ListParagraph"/>
        <w:numPr>
          <w:ilvl w:val="0"/>
          <w:numId w:val="8"/>
        </w:numPr>
      </w:pPr>
      <w:r>
        <w:rPr>
          <w:rFonts w:ascii="FangSong_GB2312" w:hAnsi="FangSong_GB2312" w:eastAsia="FangSong_GB2312"/>
          <w:b/>
          <w:sz w:val="21"/>
        </w:rPr>
        <w:t>沃什辛特拉论坛首秀，不排除美联储9月加息</w:t>
      </w:r>
    </w:p>
    <w:p>
      <w:pPr>
        <w:pStyle w:val="ListParagraph"/>
        <w:numPr>
          <w:ilvl w:val="0"/>
          <w:numId w:val="8"/>
        </w:numPr>
      </w:pPr>
      <w:r>
        <w:rPr>
          <w:rFonts w:ascii="FangSong_GB2312" w:hAnsi="FangSong_GB2312" w:eastAsia="FangSong_GB2312"/>
          <w:b/>
          <w:sz w:val="21"/>
        </w:rPr>
        <w:t>美国拒绝续约USMCA十六年，启动十年退出倒计时</w:t>
      </w:r>
    </w:p>
    <w:p>
      <w:pPr>
        <w:pStyle w:val="ListParagraph"/>
        <w:numPr>
          <w:ilvl w:val="0"/>
          <w:numId w:val="8"/>
        </w:numPr>
      </w:pPr>
      <w:r>
        <w:rPr>
          <w:rFonts w:ascii="FangSong_GB2312" w:hAnsi="FangSong_GB2312" w:eastAsia="FangSong_GB2312"/>
          <w:b/>
          <w:sz w:val="21"/>
        </w:rPr>
        <w:t>最高法院任期收官，推翻91年先例扩张总统解雇权</w:t>
      </w:r>
    </w:p>
    <w:p>
      <w:pPr>
        <w:pStyle w:val="ListParagraph"/>
        <w:numPr>
          <w:ilvl w:val="0"/>
          <w:numId w:val="8"/>
        </w:numPr>
      </w:pPr>
      <w:r>
        <w:rPr>
          <w:rFonts w:ascii="FangSong_GB2312" w:hAnsi="FangSong_GB2312" w:eastAsia="FangSong_GB2312"/>
          <w:b/>
          <w:sz w:val="21"/>
        </w:rPr>
        <w:t>英格兰银行警告自主AI或触发市场崩盘，拟设断路开关</w:t>
      </w:r>
    </w:p>
    <w:p>
      <w:pPr>
        <w:pStyle w:val="ListParagraph"/>
        <w:numPr>
          <w:ilvl w:val="0"/>
          <w:numId w:val="8"/>
        </w:numPr>
      </w:pPr>
      <w:r>
        <w:rPr>
          <w:rFonts w:ascii="FangSong_GB2312" w:hAnsi="FangSong_GB2312" w:eastAsia="FangSong_GB2312"/>
          <w:b/>
          <w:sz w:val="21"/>
        </w:rPr>
        <w:t>NatWest 27亿英镑收购Evelyn Partners完成交割</w:t>
      </w:r>
    </w:p>
    <w:p>
      <w:pPr>
        <w:pStyle w:val="ListParagraph"/>
        <w:numPr>
          <w:ilvl w:val="0"/>
          <w:numId w:val="8"/>
        </w:numPr>
      </w:pPr>
      <w:r>
        <w:rPr>
          <w:rFonts w:ascii="FangSong_GB2312" w:hAnsi="FangSong_GB2312" w:eastAsia="FangSong_GB2312"/>
          <w:b/>
          <w:sz w:val="21"/>
        </w:rPr>
        <w:t>英国最高法院裁定BlueCrest败诉，面临近2亿英镑税负</w:t>
      </w:r>
    </w:p>
    <w:p>
      <w:pPr>
        <w:pStyle w:val="ListParagraph"/>
        <w:numPr>
          <w:ilvl w:val="0"/>
          <w:numId w:val="8"/>
        </w:numPr>
      </w:pPr>
      <w:r>
        <w:rPr>
          <w:rFonts w:ascii="FangSong_GB2312" w:hAnsi="FangSong_GB2312" w:eastAsia="FangSong_GB2312"/>
          <w:b/>
          <w:sz w:val="21"/>
        </w:rPr>
        <w:t>欧元区6月通胀降至2.8%，能源价格骤跌拉低整体</w:t>
      </w:r>
    </w:p>
    <w:p>
      <w:pPr>
        <w:pStyle w:val="ListParagraph"/>
        <w:numPr>
          <w:ilvl w:val="0"/>
          <w:numId w:val="8"/>
        </w:numPr>
      </w:pPr>
      <w:r>
        <w:rPr>
          <w:rFonts w:ascii="FangSong_GB2312" w:hAnsi="FangSong_GB2312" w:eastAsia="FangSong_GB2312"/>
          <w:b/>
          <w:sz w:val="21"/>
        </w:rPr>
        <w:t>俄罗斯关闭与芬兰及波罗的海三国七个铁路口岸</w:t>
      </w:r>
    </w:p>
    <w:p>
      <w:pPr>
        <w:pStyle w:val="ListParagraph"/>
        <w:numPr>
          <w:ilvl w:val="0"/>
          <w:numId w:val="8"/>
        </w:numPr>
      </w:pPr>
      <w:r>
        <w:rPr>
          <w:rFonts w:ascii="FangSong_GB2312" w:hAnsi="FangSong_GB2312" w:eastAsia="FangSong_GB2312"/>
          <w:b/>
          <w:sz w:val="21"/>
        </w:rPr>
        <w:t>习近平建党105周年讲话，定位中国为发展中国家样板</w:t>
      </w:r>
    </w:p>
    <w:p>
      <w:pPr>
        <w:pStyle w:val="ListParagraph"/>
        <w:numPr>
          <w:ilvl w:val="0"/>
          <w:numId w:val="8"/>
        </w:numPr>
      </w:pPr>
      <w:r>
        <w:rPr>
          <w:rFonts w:ascii="FangSong_GB2312" w:hAnsi="FangSong_GB2312" w:eastAsia="FangSong_GB2312"/>
          <w:b/>
          <w:sz w:val="21"/>
        </w:rPr>
        <w:t>欧盟对150欧元以下小包裹每件征3欧元关税</w:t>
      </w:r>
    </w:p>
    <w:p>
      <w:pPr>
        <w:pStyle w:val="ListParagraph"/>
        <w:numPr>
          <w:ilvl w:val="0"/>
          <w:numId w:val="8"/>
        </w:numPr>
      </w:pPr>
      <w:r>
        <w:rPr>
          <w:rFonts w:ascii="FangSong_GB2312" w:hAnsi="FangSong_GB2312" w:eastAsia="FangSong_GB2312"/>
          <w:b/>
          <w:sz w:val="21"/>
        </w:rPr>
        <w:t>日银短观大企业制造业景气升至八年高位</w:t>
      </w:r>
    </w:p>
    <w:p>
      <w:pPr>
        <w:pStyle w:val="ListParagraph"/>
        <w:numPr>
          <w:ilvl w:val="0"/>
          <w:numId w:val="8"/>
        </w:numPr>
      </w:pPr>
      <w:r>
        <w:rPr>
          <w:rFonts w:ascii="FangSong_GB2312" w:hAnsi="FangSong_GB2312" w:eastAsia="FangSong_GB2312"/>
          <w:b/>
          <w:sz w:val="21"/>
        </w:rPr>
        <w:t>日本注资至多1万亿日元支持软银主导Noetra研发物理AI</w:t>
      </w:r>
    </w:p>
    <w:p>
      <w:pPr>
        <w:pStyle w:val="ListParagraph"/>
        <w:numPr>
          <w:ilvl w:val="0"/>
          <w:numId w:val="8"/>
        </w:numPr>
      </w:pPr>
      <w:r>
        <w:rPr>
          <w:rFonts w:ascii="FangSong_GB2312" w:hAnsi="FangSong_GB2312" w:eastAsia="FangSong_GB2312"/>
          <w:b/>
          <w:sz w:val="21"/>
        </w:rPr>
        <w:t>韩国6月出口首破千亿美元，芯片单月出货创纪录</w:t>
      </w:r>
    </w:p>
    <w:p>
      <w:pPr>
        <w:pStyle w:val="ListParagraph"/>
        <w:numPr>
          <w:ilvl w:val="0"/>
          <w:numId w:val="8"/>
        </w:numPr>
      </w:pPr>
      <w:r>
        <w:rPr>
          <w:rFonts w:ascii="FangSong_GB2312" w:hAnsi="FangSong_GB2312" w:eastAsia="FangSong_GB2312"/>
          <w:b/>
          <w:sz w:val="21"/>
        </w:rPr>
        <w:t>SK海力士递交修订版F-1，启动290亿美元纳斯达克上市</w:t>
      </w:r>
    </w:p>
    <w:p/>
    <w:p/>
    <w:p>
      <w:r>
        <w:rPr>
          <w:rFonts w:ascii="FangSong_GB2312" w:hAnsi="FangSong_GB2312" w:eastAsia="FangSong_GB2312"/>
          <w:b/>
          <w:sz w:val="24"/>
        </w:rPr>
        <w:t>1.沃什辛特拉论坛首秀，不排除美联储9月加息</w:t>
      </w:r>
    </w:p>
    <w:p>
      <w:r>
        <w:rPr>
          <w:rFonts w:ascii="FangSong_GB2312" w:hAnsi="FangSong_GB2312" w:eastAsia="FangSong_GB2312"/>
          <w:b w:val="0"/>
          <w:sz w:val="21"/>
        </w:rPr>
        <w:t>美联储主席凯文·沃什（Kevin Warsh）7月1日在葡萄牙辛特拉（Sintra）举行的欧洲央行年度经济论坛小组讨论上亮相，这是他就任以来首次在美国境外公开露面，与欧洲央行行长拉加德（Christine Lagarde）、英格兰银行行长贝利（Andrew Bailey）、加拿大央行行长麦克勒姆（Tiff Macklem）同台。四位央行掌门人面对同一道难题——通胀仍高于各自2%的目标；沃什呼应这一共识，并未排除进一步加息，促使投资者上调美联储最早9月加息的概率。就在此前的6月会议、也是沃什任内首次主持的议息会上，美联储将联邦基金利率维持在3.5%至3.75%区间不变。拉加德本周稍早在开幕演讲中宣告一个货币政策时代的结束，称欧洲央行可重新依赖利率作为控制通胀的主要工具，欧洲央行近期已加息25个基点。辛特拉论坛于6月29日至7月1日举行。 [1]</w:t>
      </w:r>
    </w:p>
    <w:p/>
    <w:p>
      <w:r>
        <w:rPr>
          <w:rFonts w:ascii="FangSong_GB2312" w:hAnsi="FangSong_GB2312" w:eastAsia="FangSong_GB2312"/>
          <w:b/>
          <w:sz w:val="24"/>
        </w:rPr>
        <w:t>2.美国拒绝续约USMCA十六年，启动十年退出倒计时</w:t>
      </w:r>
    </w:p>
    <w:p>
      <w:r>
        <w:rPr>
          <w:rFonts w:ascii="FangSong_GB2312" w:hAnsi="FangSong_GB2312" w:eastAsia="FangSong_GB2312"/>
          <w:b w:val="0"/>
          <w:sz w:val="21"/>
        </w:rPr>
        <w:t>特朗普政府7月1日正式宣布不会将《美墨加协定》（USMCA）延长16年，触发一场为期十年的协定退出倒计时，三方当天举行视频会议。这一机制源自协定第34.7条的"日落条款"：每六年一次联合审议，若任一成员国不确认续约，进程即转入逐年审议，为三国留出十年弥合分歧的时间；若届时仍未达成一致，协定将于2036年7月1日到期失效。特朗普直言"不寻求续约"（not looking to renew）。争议焦点在汽车——美国要求北美生产汽车中的美国本土成分占比达到50%，并将区域成分门槛从75%提高至82%；华盛顿已对加拿大和墨西哥的汽车及零部件加征25%关税，对钢铝加征50%关税。USMCA于2020年取代北美自由贸易协定（NAFTA），今年恰逢生效六周年，而美国目前仅与墨西哥谈判、将加拿大排除在外。 [2]</w:t>
      </w:r>
    </w:p>
    <w:p/>
    <w:p>
      <w:r>
        <w:rPr>
          <w:rFonts w:ascii="FangSong_GB2312" w:hAnsi="FangSong_GB2312" w:eastAsia="FangSong_GB2312"/>
          <w:b/>
          <w:sz w:val="24"/>
        </w:rPr>
        <w:t>3.最高法院任期收官，推翻91年先例扩张总统解雇权</w:t>
      </w:r>
    </w:p>
    <w:p>
      <w:r>
        <w:rPr>
          <w:rFonts w:ascii="FangSong_GB2312" w:hAnsi="FangSong_GB2312" w:eastAsia="FangSong_GB2312"/>
          <w:b w:val="0"/>
          <w:sz w:val="21"/>
        </w:rPr>
        <w:t>美国最高法院以6比3在"特朗普诉斯劳特案"（Trump v. Slaughter）中废除独立机构成员的免职保护，推翻已有91年历史的"汉弗莱遗嘱执行人案"（Humphrey's Executor）先例，扩大总统随意解雇机构负责人的权力——1935年确立的这一先例曾允许国会限制总统随意解雇联邦贸易委员会等多成员独立机构官员，是这类机构存在的法理基石。保守派把持的多数法院并未在每案倒向白宫：在另一起6比3裁决中，法院依据宪法第十四修正案维护出生公民权、挫败特朗普行政命令，首席大法官罗伯茨（John Roberts）撰写多数意见；在"学习资源公司诉特朗普案"中以6比3推翻特朗普的紧急关税，认定其属只有国会才能开征的税；在"特朗普诉临时保护身份案"中以6比3剥夺海地和叙利亚移民的临时保护身份；另在一起5比4裁决中暂准美联储理事库克（Lisa Cook）在程序审理期间留任。多数裁决于6月29日至30日下达。 [3]</w:t>
      </w:r>
    </w:p>
    <w:p/>
    <w:p>
      <w:r>
        <w:rPr>
          <w:rFonts w:ascii="FangSong_GB2312" w:hAnsi="FangSong_GB2312" w:eastAsia="FangSong_GB2312"/>
          <w:b/>
          <w:sz w:val="24"/>
        </w:rPr>
        <w:t>4.英格兰银行警告自主AI或触发市场崩盘，拟设断路开关</w:t>
      </w:r>
    </w:p>
    <w:p>
      <w:r>
        <w:rPr>
          <w:rFonts w:ascii="FangSong_GB2312" w:hAnsi="FangSong_GB2312" w:eastAsia="FangSong_GB2312"/>
          <w:b w:val="0"/>
          <w:sz w:val="21"/>
        </w:rPr>
        <w:t>英格兰银行负责金融稳定的副行长Sarah Breeden于6月30日在辛特拉（Sintra）举行的ECB Forum on Central Banking上警告，金融市场中的自主AI智能体可能放大波动、足以触发市场崩盘，而现有监管框架不足以应对。她表示："我们的框架并非为应对自主智能体而设计，而对所有智能体行为都依赖人类在环节中把关，恐怕并不现实。"英格兰银行正在权衡两类新工具：一是全市场的"断路开关"（kill switch），在检测到出错或目标失准的AI模型引发系统性扰动时中止自动化交易；二是"增强恢复"安排，在一家银行因AI故障瘫痪后允许另一家银行临时接管其核心职能。核心担忧在于AI行为的相关性——众多机构运行训练方式相似的智能体，可能同时做出相同动作。Breeden援引剑桥的一项调查称，52%的金融机构已在部署自主AI；金融稳定委员会（Financial Stability Board）6月也呼吁建立防护机制。 [4]</w:t>
      </w:r>
    </w:p>
    <w:p/>
    <w:p>
      <w:r>
        <w:rPr>
          <w:rFonts w:ascii="FangSong_GB2312" w:hAnsi="FangSong_GB2312" w:eastAsia="FangSong_GB2312"/>
          <w:b/>
          <w:sz w:val="24"/>
        </w:rPr>
        <w:t>5.NatWest 27亿英镑收购Evelyn Partners完成交割</w:t>
      </w:r>
    </w:p>
    <w:p>
      <w:r>
        <w:rPr>
          <w:rFonts w:ascii="FangSong_GB2312" w:hAnsi="FangSong_GB2312" w:eastAsia="FangSong_GB2312"/>
          <w:b w:val="0"/>
          <w:sz w:val="21"/>
        </w:rPr>
        <w:t>NatWest Group plc 7月1日宣布完成对英国财富管理机构Evelyn Partners的收购，总对价约27亿英镑（约34亿美元），交易已获所有必需的监管批准、于6月30日完成交割。Evelyn Partners管理约620亿英镑客户资产，此次收购使NatWest跻身英国最大财富管理机构之列，将其零售与私人银行客群同Evelyn的投资管理和财务规划能力相结合。交易由Permira和Warburg Pincus旗下基金出售股权；2026年2月达成协议时，NatWest同步宣布了一项7.5亿英镑的股份回购。NatWest首席执行官称该交易是集团发展财富管理战略的"重要里程碑"。 [5]</w:t>
      </w:r>
    </w:p>
    <w:p/>
    <w:p>
      <w:r>
        <w:rPr>
          <w:rFonts w:ascii="FangSong_GB2312" w:hAnsi="FangSong_GB2312" w:eastAsia="FangSong_GB2312"/>
          <w:b/>
          <w:sz w:val="24"/>
        </w:rPr>
        <w:t>6.英国最高法院裁定BlueCrest败诉，面临近2亿英镑税负</w:t>
      </w:r>
    </w:p>
    <w:p>
      <w:r>
        <w:rPr>
          <w:rFonts w:ascii="FangSong_GB2312" w:hAnsi="FangSong_GB2312" w:eastAsia="FangSong_GB2312"/>
          <w:b w:val="0"/>
          <w:sz w:val="21"/>
        </w:rPr>
        <w:t>英国最高法院7月1日一致驳回对冲基金BlueCrest Capital Management (UK) LLP对HMRC的上诉，裁定该基金部分高级交易员应按受薪雇员、而非利润分成的有限责任合伙（LLP）成员纳税，判决引用编号[2026] UKSC 18。争议围绕受薪成员规则（Salaried Members Rules）及其三项条件；HMRC获支持的立场是，相关成员领取的是固定报酬、与利润无关，且缺乏足以通过测试的影响力，而创始人Michael Platt（2026年《星期日泰晤士报》富豪榜第12位、约130亿英镑）曾主张他们是真正的利润分成成员。裁决使BlueCrest就2014/15至2018/19纳税年度面临合计近2亿英镑的税负，并强化了HMRC在类似LLP受薪成员案件中的立场。此案自2021年3月首次在一级税务法庭审理，经上级法庭、上诉法院逐级审理至最高法院；介入方包括AIMA和Managed Funds Association。 [6]</w:t>
      </w:r>
    </w:p>
    <w:p/>
    <w:p>
      <w:r>
        <w:rPr>
          <w:rFonts w:ascii="FangSong_GB2312" w:hAnsi="FangSong_GB2312" w:eastAsia="FangSong_GB2312"/>
          <w:b/>
          <w:sz w:val="24"/>
        </w:rPr>
        <w:t>7.欧元区6月通胀降至2.8%，能源价格骤跌拉低整体</w:t>
      </w:r>
    </w:p>
    <w:p>
      <w:r>
        <w:rPr>
          <w:rFonts w:ascii="FangSong_GB2312" w:hAnsi="FangSong_GB2312" w:eastAsia="FangSong_GB2312"/>
          <w:b w:val="0"/>
          <w:sz w:val="21"/>
        </w:rPr>
        <w:t>欧元区6月调和消费价格指数（HICP）同比涨幅降至2.8%，低于5月的3.2%，为3月以来首次回落，欧盟统计局7月1日发布的初值显示当月物价环比下跌0.1%、是2026年内首次月度负增长。拉低整体读数的主力是能源，其同比涨幅从5月的10.8%骤降至8.7%；服务业通胀从3.5%回落至3.2%，剔除能源与食品的核心通胀率从2.6%降至2.4%。各成员国分化明显，立陶宛以5.5%居首，最低的马耳他为1.9%，德国为2.4%。数据公布当日欧元汇率跌破1.14美元，Euro STOXX银行指数下跌约0.7%，市场对7月23日欧洲央行议息会议维持利率不变的定价概率高达93%。MHA经济学家乔·内利斯（Joe Nellis）评论称："简而言之，欧元区经济没有产生足够的动能，去以较快速度推高物价。" [7]</w:t>
      </w:r>
    </w:p>
    <w:p/>
    <w:p>
      <w:r>
        <w:rPr>
          <w:rFonts w:ascii="FangSong_GB2312" w:hAnsi="FangSong_GB2312" w:eastAsia="FangSong_GB2312"/>
          <w:b/>
          <w:sz w:val="24"/>
        </w:rPr>
        <w:t>8.俄罗斯关闭与芬兰及波罗的海三国七个铁路口岸</w:t>
      </w:r>
    </w:p>
    <w:p>
      <w:r>
        <w:rPr>
          <w:rFonts w:ascii="FangSong_GB2312" w:hAnsi="FangSong_GB2312" w:eastAsia="FangSong_GB2312"/>
          <w:b w:val="0"/>
          <w:sz w:val="21"/>
        </w:rPr>
        <w:t>俄罗斯一项政令自7月1日起暂停通过与芬兰、爱沙尼亚、拉脱维亚接壤的七个铁路检查站的运行，其中芬兰方向包括维堡、斯韦托戈尔斯克、维亚尔齐利亚、柳蒂亚及圣彼得堡-芬兰站，爱沙尼亚方向为佩乔雷-普斯科夫，拉脱维亚方向为佩塔洛沃；这批口岸中过去两年实际只有佩乔雷与佩塔洛沃仍在运行。对芬兰而言，客运与车辆过境自2023年12月起已无限期暂停——当时赫尔辛基以俄方发动"混合攻击"、借道输送非法移民为由关闭了这些口岸，此前芬兰刚于2023年4月加入北约。俄方此次铁路口岸关闭后，芬兰与俄罗斯之间已无任何开放的铁路联系。俄罗斯外交部将就此通知上述三国政府，政令未给出任何解释，也未设定结束日期。 [8]</w:t>
      </w:r>
    </w:p>
    <w:p/>
    <w:p>
      <w:r>
        <w:rPr>
          <w:rFonts w:ascii="FangSong_GB2312" w:hAnsi="FangSong_GB2312" w:eastAsia="FangSong_GB2312"/>
          <w:b/>
          <w:sz w:val="24"/>
        </w:rPr>
        <w:t>9.习近平建党105周年讲话，定位中国为发展中国家样板</w:t>
      </w:r>
    </w:p>
    <w:p>
      <w:r>
        <w:rPr>
          <w:rFonts w:ascii="FangSong_GB2312" w:hAnsi="FangSong_GB2312" w:eastAsia="FangSong_GB2312"/>
          <w:b w:val="0"/>
          <w:sz w:val="21"/>
        </w:rPr>
        <w:t>习近平7月1日在北京人民大会堂发表约40分钟讲话纪念中国共产党成立105周年，把中国定位为新兴经济体的发展样板，以中国快速工业化为例称中国用几十年走完了发达国家几百年的路。他提出以"中国智慧、中国方案、中国力量"和"人类命运共同体"应对全球挑战，称中国旨在重塑而非取代现有世界秩序；强调加快军队现代化、建成世界一流军队，同时坚持党对军队的绝对领导，并重申推进两岸统一、反对"台独"和"外部干涉"，向优秀党员颁授党内最高荣誉"七一勋章"。此次讲话的对外基调较2021年建党百年讲话更为外向——后者聚焦国内的"民族复兴"；习近平称中共"通过不懈奋斗深刻改变了世界发展的趋势和格局"，目前执政已进入第14个年头，讲话恰逢香港回归29周年同一天举行。 [9]</w:t>
      </w:r>
    </w:p>
    <w:p/>
    <w:p>
      <w:r>
        <w:rPr>
          <w:rFonts w:ascii="FangSong_GB2312" w:hAnsi="FangSong_GB2312" w:eastAsia="FangSong_GB2312"/>
          <w:b/>
          <w:sz w:val="24"/>
        </w:rPr>
        <w:t>10.欧盟对150欧元以下小包裹每件征3欧元关税</w:t>
      </w:r>
    </w:p>
    <w:p>
      <w:r>
        <w:rPr>
          <w:rFonts w:ascii="FangSong_GB2312" w:hAnsi="FangSong_GB2312" w:eastAsia="FangSong_GB2312"/>
          <w:b w:val="0"/>
          <w:sz w:val="21"/>
        </w:rPr>
        <w:t>欧盟7月1日起对从欧盟以外进入、单件价值低于150欧元的小包裹按每一税则归类征收3欧元关税，同时取消150欧元的免税门槛，直击中国电商长期利用的"最低限度豁免"（de minimis）漏洞——此前每年约有20亿件小包裹进入欧盟，且多来自中国、常被低报货值。受冲击最直接的是SHEIN、Temu（母公司拼多多PDD Holdings）和速卖通AliExpress（母公司阿里巴巴），新规将这些平台定性为"视同进口商"，直接对海关合规与税负负责，SHEIN与Temu已在大限前数月转向欧盟本地仓储。3欧元关税为过渡性安排、将持续至2028年7月1日，届时更精细的税率分档（0%、5%、8%、12%、17%）将启用，另一项按每个HS编码约2欧元的欧盟统一处理费将不晚于2026年11月1日跟进。2025年欧盟电商进口总量近59亿件，欧洲理事会已于2026年2月11日给予最终立法批准，欧盟委员会称旧有制度一直在"悄然扭曲市场"。 [10]</w:t>
      </w:r>
    </w:p>
    <w:p/>
    <w:p>
      <w:r>
        <w:rPr>
          <w:rFonts w:ascii="FangSong_GB2312" w:hAnsi="FangSong_GB2312" w:eastAsia="FangSong_GB2312"/>
          <w:b/>
          <w:sz w:val="24"/>
        </w:rPr>
        <w:t>11.日银短观大企业制造业景气升至八年高位</w:t>
      </w:r>
    </w:p>
    <w:p>
      <w:r>
        <w:rPr>
          <w:rFonts w:ascii="FangSong_GB2312" w:hAnsi="FangSong_GB2312" w:eastAsia="FangSong_GB2312"/>
          <w:b w:val="0"/>
          <w:sz w:val="21"/>
        </w:rPr>
        <w:t>日本银行7月1日公布的第二季度《全国企业短期经济观测调查》（短观，Tankan）显示，大型制造业企业景气判断指数（DI）从3月的+17升至+22，创2018年3月以来最高，连续第五个季度改善，超过彭博（Bloomberg）+16的预测中值；大型非制造业DI也从+36微升至+37。调查在中东局势紧张、日元贬值至约162日元兑1美元的背景下完成，企业成本压力显著，投入价格DI由+46跳升至+62。尽管景气感改善，企业对盈利前景仍偏谨慎，大企业预计2026财年经常利润制造业下滑6.7%、非制造业下滑6.3%；反映通胀预期的指标创新高，受访大企业预计三年后与五年后的消费者物价均将上涨2.6%。日银已于6月16日加息25个基点至1.0%、为1995年以来最高，下次货币政策会议定于7月31日举行；政策委员会委员田村直树此前表示政策利率应"逐步向约2%的中性水平靠拢"。 [11]</w:t>
      </w:r>
    </w:p>
    <w:p/>
    <w:p>
      <w:r>
        <w:rPr>
          <w:rFonts w:ascii="FangSong_GB2312" w:hAnsi="FangSong_GB2312" w:eastAsia="FangSong_GB2312"/>
          <w:b/>
          <w:sz w:val="24"/>
        </w:rPr>
        <w:t>12.日本注资至多1万亿日元支持软银主导Noetra研发物理AI</w:t>
      </w:r>
    </w:p>
    <w:p>
      <w:r>
        <w:rPr>
          <w:rFonts w:ascii="FangSong_GB2312" w:hAnsi="FangSong_GB2312" w:eastAsia="FangSong_GB2312"/>
          <w:b w:val="0"/>
          <w:sz w:val="21"/>
        </w:rPr>
        <w:t>日本政府7月1日宣布将向以软银公司（SoftBank Corp.）为首的九家企业联盟提供至多1万亿日元（约61.6亿美元）资金，用于开发国产AI基础模型，牵头实体Noetra Corp.由软银联合本田、NEC和索尼设立。2026财年拨款为3873亿日元、通过GX经济转型债券筹措，全部1万亿日元将在五年内分批投入。该项目瞄准一款可整合语言、图像、视频与传感器数据的多模态"物理AI"模型，使机器人能够理解并作用于物理世界，应用场景涵盖机器人、自动驾驶与工厂自动化；来自软银与Preferred Networks的工程师将与产业技术综合研究所（AIST）研究人员协同开发，首个模型有望于本财年内推出，产业数据贡献方包括MUFG、三井住友金融、瑞穗、日本制铁与神户制钢等。经济产业省（METI）的物理AI路线图设定目标，力争到2040年使日本占据全球物理AI市场30%的份额，以在与美国、中国的竞争中占据一席之地。 [12]</w:t>
      </w:r>
    </w:p>
    <w:p/>
    <w:p>
      <w:r>
        <w:rPr>
          <w:rFonts w:ascii="FangSong_GB2312" w:hAnsi="FangSong_GB2312" w:eastAsia="FangSong_GB2312"/>
          <w:b/>
          <w:sz w:val="24"/>
        </w:rPr>
        <w:t>13.韩国6月出口首破千亿美元，芯片单月出货创纪录</w:t>
      </w:r>
    </w:p>
    <w:p>
      <w:r>
        <w:rPr>
          <w:rFonts w:ascii="FangSong_GB2312" w:hAnsi="FangSong_GB2312" w:eastAsia="FangSong_GB2312"/>
          <w:b w:val="0"/>
          <w:sz w:val="21"/>
        </w:rPr>
        <w:t>韩国6月出口额达到1022.5亿美元、同比激增70.9%，成为历史上首个单月出口突破1000亿美元的月份，产业通商资源部7月1日公布的数据使韩国成为继德国、中国、美国之后全球第四个跨越这一门槛的国家。推动力几乎全部来自芯片：半导体出口同比接近翻三倍至448.2亿美元、首次突破单月400亿美元，AI服务器所需的存储芯片需求是主因，计算机产品出口也暴增逾300%至54.1亿美元；对华出口跳涨92.1%至200亿美元，对美出口增长78.6%、同样为200亿美元。进口同比上升30.1%至661亿美元，使6月贸易顺差达361.5亿美元、首次超过300亿美元并创单月纪录。产业部长金正官（Kim Jung-kwan）称韩国上半年录得创纪录出口表现，同时提醒下半年仍存美国关税、油价波动和全球经济放缓等不确定性。 [13]</w:t>
      </w:r>
    </w:p>
    <w:p/>
    <w:p>
      <w:r>
        <w:rPr>
          <w:rFonts w:ascii="FangSong_GB2312" w:hAnsi="FangSong_GB2312" w:eastAsia="FangSong_GB2312"/>
          <w:b/>
          <w:sz w:val="24"/>
        </w:rPr>
        <w:t>14.SK海力士递交修订版F-1，启动290亿美元纳斯达克上市</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SK海力士——韩国最大的存储芯片制造商——7月1日前后向美国证券交易委员会（SEC）提交修订版Form F-1注册声明，正式启动纳斯达克ADR上市进程、代码SKHY，计划通过发行至多1779万股新普通股（约占已发行股份2.5%）募资至多45.45万亿韩元（290亿美元），其中约11.9万亿韩元用于新建生产设施和采购EUV光刻机，预计7月10日开始交易。按规模计，这笔发行将超过沙特阿美（Saudi Aramco）256亿美元的IPO、成为史上最大的韩国上市，承销主承为美银证券、花旗、高盛和摩根大通。SK海力士在全球高带宽存储（HBM）市场占有56.4%份额、是英伟达（Nvidia）主要HBM供应商；公司在文件中披露了一起在美国加州北区联邦地区法院悬而未决的反垄断集体诉讼，指控其限制DRAM供应并抬高价格。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https://money.usnews.com/investing/news/articles/2026-07-01/warsh-hits-the-international-stage-with-peers-sharing-an-inflation-problem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https://uk.finance.yahoo.com/news/u-declaration-exit-usmca-start-100703179.html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https://www.npr.org/2026/07/01/nx-s1-5876231/supreme-court-deals-some-blows-to-trumps-agenda-but-leaves-him-with-more-expansive-powers</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https://www.tradingview.com/news/reuters.com,2026:newsml_L6N4320ND:0-agentic-ai-may-require-more-sophisticated-regulation-boe-s-breeden-says/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https://www.natwestgroup.com/news-and-insights/news-room/press-releases/financial-reporting/2026/jul/natwest-group-announces-the-completion-of-the-acquisition-of-eve.html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https://www.supremecourt.uk/cases/uksc-2025-0028.html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https://ec.europa.eu/eurostat/product?code=2-01072026-ap</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https://www.euronews.com/my-europe/2026/07/01/russia-closes-railway-border-crossings-with-finland-estonia-and-latvia</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https://www.cnbc.com/2026/07/01/china-xi-jinping-ccp-105th-anniversary-global-influence-taiwan.html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https://www.euronews.com/my-europe/2026/07/01/eu-slaps-3-duty-fee-on-shein-temu-and-aliexpress-imports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https://www.boj.or.jp/en/statistics/tk/tankan06a.htm</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https://asia.nikkei.com/business/technology/artificial-intelligence/japan-backs-softbank-led-ai-models-with-up-to-6.2bn-in-chasing-us-china</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https://www.koreajoongangdaily.com/business/korea-becomes-fourth-nation-to-top-100-billion-in-monthly-exports-as-chip-shipments-hit-record-high/12749622</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https://www.koreatimes.co.kr/business/companies/20260701/sk-hynix-files-amended-f-1-with-sec-as-it-begins-us-ipo-process</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