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94b10f137a01233872f18b1de239f3baadf8a14"/>
    <w:p>
      <w:pPr>
        <w:pStyle w:val="Heading1"/>
      </w:pPr>
      <w:r>
        <w:t xml:space="preserve">China Daily News Intelligence — July 7, 2026</w:t>
      </w:r>
    </w:p>
    <w:bookmarkStart w:id="12" w:name="economy-markets"/>
    <w:p>
      <w:pPr>
        <w:pStyle w:val="Heading2"/>
      </w:pPr>
      <w:r>
        <w:t xml:space="preserve">1. Economy &amp; Markets</w:t>
      </w:r>
    </w:p>
    <w:bookmarkStart w:id="9" w:name="X6814593059d97a285931a1e3a0eb95c4f2a88d0"/>
    <w:p>
      <w:pPr>
        <w:pStyle w:val="Heading3"/>
      </w:pPr>
      <w:r>
        <w:t xml:space="preserve">China breaks step with global markets as yuan and bonds draw foreign inflows</w:t>
      </w:r>
    </w:p>
    <w:p>
      <w:pPr>
        <w:pStyle w:val="FirstParagraph"/>
      </w:pPr>
      <w:r>
        <w:t xml:space="preserve">China’s 10-year sovereign yield has fallen nearly 10 basis points to 1.73% since the Middle East conflict began at the end of February 2026, even as 10-year US yields rose 51 basis points over the same stretch — a divergence that has turned the country’s bond market into the world’s strongest performer of the period. The yuan has advanced 5.4% against the dollar over 12 months, reaching a 3.5-year high of 6.7522 per dollar, the only major currency to have climbed against the greenback in that window. Mainland blue-chip stocks rose approximately 11% in dollar terms in the first half of 2026.</w:t>
      </w:r>
    </w:p>
    <w:p>
      <w:pPr>
        <w:pStyle w:val="BodyText"/>
      </w:pPr>
      <w:r>
        <w:t xml:space="preserve">The money is following. China’s bond market logged net foreign inflows for the first time in more than a year in May 2026, and foreign holdings of onshore A-shares increased from approximately 3.67 trillion yuan at year-end 2025 to over 4 trillion yuan. Christopher Hamilton at Invesco said,</w:t>
      </w:r>
      <w:r>
        <w:t xml:space="preserve"> </w:t>
      </w:r>
      <w:r>
        <w:t xml:space="preserve">“The role of China in portfolios is evolving from a simple emerging-market growth allocation toward a more nuanced source of diversification.”</w:t>
      </w:r>
      <w:r>
        <w:t xml:space="preserve"> </w:t>
      </w:r>
      <w:r>
        <w:t xml:space="preserve">BNY Asia-Pacific macro strategist Wee Khoon Chong attributed the move to fundamentals:</w:t>
      </w:r>
      <w:r>
        <w:t xml:space="preserve"> </w:t>
      </w:r>
      <w:r>
        <w:t xml:space="preserve">“There has been renewed demand for China bonds, which we believe was driven by relative safety and low volatility.”</w:t>
      </w:r>
    </w:p>
    <w:p>
      <w:pPr>
        <w:pStyle w:val="BodyText"/>
      </w:pPr>
      <w:r>
        <w:t xml:space="preserve">The shift is being framed as structural rather than tactical. Phillip Wool, head of portfolio management at Rayliant, said,</w:t>
      </w:r>
      <w:r>
        <w:t xml:space="preserve"> </w:t>
      </w:r>
      <w:r>
        <w:t xml:space="preserve">“We’ve long seen China’s market, especially onshore-listed China A-shares, as a rare source of diversification. Now, in addition, you’ve got an actual economic decoupling that’s happening.”</w:t>
      </w:r>
      <w:r>
        <w:t xml:space="preserve"> </w:t>
      </w:r>
      <w:r>
        <w:t xml:space="preserve">CEIBS Finance Institute director Liu Gongrun put it more bluntly:</w:t>
      </w:r>
      <w:r>
        <w:t xml:space="preserve"> </w:t>
      </w:r>
      <w:r>
        <w:t xml:space="preserve">“Chinese asset allocation is no longer determined by valuations, trading sentiment, or Fed rate changes.”</w:t>
      </w:r>
      <w:r>
        <w:t xml:space="preserve"> </w:t>
      </w:r>
      <w:r>
        <w:t xml:space="preserve">With the benchmark 7-day reverse repo rate at 1.40% and the CSI 300 trading near 4,842, Goldman Sachs holds a 12-month CSI 300 target of 5,300.</w:t>
      </w:r>
    </w:p>
    <w:p>
      <w:pPr>
        <w:pStyle w:val="BodyText"/>
      </w:pPr>
      <w:r>
        <w:rPr>
          <w:b/>
          <w:bCs/>
        </w:rPr>
        <w:t xml:space="preserve">References</w:t>
      </w:r>
    </w:p>
    <w:p>
      <w:pPr>
        <w:pStyle w:val="BodyText"/>
      </w:pPr>
      <w:r>
        <w:t xml:space="preserve">[1] Reuters. (2026, July 7). China breaks step with global markets and investors buy in. Investing.com. https://www.investing.com/news/economy-news/analysischina-breaks-step-with-global-markets-and-investors-buy-in-4778156</w:t>
      </w:r>
      <w:r>
        <w:t xml:space="preserve"> </w:t>
      </w:r>
      <w:r>
        <w:t xml:space="preserve">[2] Reuters. (2026, July 6). China breaks step with global markets and investors buy in. 933thedrive.com. https://www.933thedrive.com/2026/07/06/analysis-china-breaks-step-with-global-markets-and-investors-buy-in/</w:t>
      </w:r>
      <w:r>
        <w:t xml:space="preserve"> </w:t>
      </w:r>
      <w:r>
        <w:t xml:space="preserve">[3] Reuters. (2026, July 7). China breaks step with global markets and investors buy in. Media Selangor. https://mediaselangor.com/en/2026/07/383114</w:t>
      </w:r>
    </w:p>
    <w:p>
      <w:r>
        <w:pict>
          <v:rect style="width:0;height:1.5pt" o:hralign="center" o:hrstd="t" o:hr="t"/>
        </w:pict>
      </w:r>
    </w:p>
    <w:bookmarkEnd w:id="9"/>
    <w:bookmarkStart w:id="10" w:name="X2d449f4a0454a369048f26fc2fadd556f7d3608"/>
    <w:p>
      <w:pPr>
        <w:pStyle w:val="Heading3"/>
      </w:pPr>
      <w:r>
        <w:t xml:space="preserve">PBOC’s Pan lifts Southbound Bond Connect quota to 800bn yuan as Hong Kong launches gold central clearing</w:t>
      </w:r>
    </w:p>
    <w:p>
      <w:pPr>
        <w:pStyle w:val="FirstParagraph"/>
      </w:pPr>
      <w:r>
        <w:t xml:space="preserve">PBOC Governor Pan Gongsheng told the FIC &amp; Bond Connect Summit in Hong Kong on July 7, 2026 that the annual net investment quota under Southbound Bond Connect will expand from 500 billion to 800 billion yuan (approx US$117.8 billion), widening the channel through which mainland investors buy offshore debt. Eligible products expand to include Hong Kong dollar bonds and related yuan-denominated assets, and the scope now extends to Macau’s bond market. Pan said China’s national foreign-exchange reserves would increase their allocation to Hong Kong financial markets across asset classes.</w:t>
      </w:r>
    </w:p>
    <w:p>
      <w:pPr>
        <w:pStyle w:val="BodyText"/>
      </w:pPr>
      <w:r>
        <w:t xml:space="preserve">Alongside the quota move, the RMB Business Facility will more than double to 500 billion yuan ($74 billion), giving local banks greater renminbi access via HKMA loans — a step aimed at deepening offshore yuan liquidity. Separately, Hong Kong Chief Executive John Lee announced a pilot central clearing system for gold under the government-owned Hong Kong Precious Metals Central Clearing Limited, the first phase of</w:t>
      </w:r>
      <w:r>
        <w:t xml:space="preserve"> </w:t>
      </w:r>
      <w:r>
        <w:t xml:space="preserve">“Delivery Connect,”</w:t>
      </w:r>
      <w:r>
        <w:t xml:space="preserve"> </w:t>
      </w:r>
      <w:r>
        <w:t xml:space="preserve">developed with the Shanghai Gold Exchange to link the two cities’ physical gold liquidity pools. A new gold price ticker, HAU, developed with Bloomberg, was introduced.</w:t>
      </w:r>
    </w:p>
    <w:p>
      <w:pPr>
        <w:pStyle w:val="BodyText"/>
      </w:pPr>
      <w:r>
        <w:rPr>
          <w:b/>
          <w:bCs/>
        </w:rPr>
        <w:t xml:space="preserve">References</w:t>
      </w:r>
    </w:p>
    <w:p>
      <w:pPr>
        <w:pStyle w:val="BodyText"/>
      </w:pPr>
      <w:r>
        <w:t xml:space="preserve">[4] Sheridan, E. (2026, July 7). PBOC’s Pan lifts Southbound Bond Connect quota to 800bn as Hong Kong expands gold links. InvestingLive. https://investinglive.com/centralbank/pbocs-pan-lifts-southbound-bond-connect-quota-to-800bn-as-hong-kong-expands-gold-links-20260707/</w:t>
      </w:r>
      <w:r>
        <w:t xml:space="preserve"> </w:t>
      </w:r>
      <w:r>
        <w:t xml:space="preserve">[5] Bloomberg. (2026, July 7). PBOC unveils new measures to cement Hong Kong’s yuan hub status. Bloomberg. https://www.bloomberg.com/news/articles/2026-07-07/pboc-unveils-new-measures-to-cement-hong-kong-s-yuan-hub-status</w:t>
      </w:r>
    </w:p>
    <w:p>
      <w:r>
        <w:pict>
          <v:rect style="width:0;height:1.5pt" o:hralign="center" o:hrstd="t" o:hr="t"/>
        </w:pict>
      </w:r>
    </w:p>
    <w:bookmarkEnd w:id="10"/>
    <w:bookmarkStart w:id="11" w:name="X699e6bda1f8d348fc0841f3ab85d906b74d1994"/>
    <w:p>
      <w:pPr>
        <w:pStyle w:val="Heading3"/>
      </w:pPr>
      <w:r>
        <w:t xml:space="preserve">Tencent executes $1.5B block sale of Kuaishou stake, cutting below 10% threshold amid AI pivot</w:t>
      </w:r>
    </w:p>
    <w:p>
      <w:pPr>
        <w:pStyle w:val="FirstParagraph"/>
      </w:pPr>
      <w:r>
        <w:t xml:space="preserve">Tencent Holdings sold approximately 272.95 million Class B Kuaishou shares at HK$43.25 in an off-market block trade around July 6-7, 2026, netting roughly HK$12.56 billion (US$1.5 billion) — the biggest such block trade in Hong Kong in 2026. The disposal cut Tencent’s Kuaishou stake from 15.68% to about 9.37%, taking it below HKEX’s 10% substantial-shareholder threshold; Kuaishou confirmed the change via an HKEX filing, and Tencent faces a 90-day lock-up on the remainder. Goldman Sachs and Morgan Stanley arranged the deal. On July 7, Kuaishou shares slid as much as 10.4% to HK$35.66, against a 1% Hang Seng decline.</w:t>
      </w:r>
    </w:p>
    <w:p>
      <w:pPr>
        <w:pStyle w:val="BodyText"/>
      </w:pPr>
      <w:r>
        <w:t xml:space="preserve">The sale sits within a wider redeployment of capital toward artificial intelligence. Days earlier, Tencent co-led — with CPE and CITIC Securities — a near-US$3bn round for Kuaishou’s AI unit Kling AI at an US$18bn post-money valuation. Tencent has also invested US$1.5bn in DeepSeek and US$1bn in Moonshot AI. Kling AI’s annual recurring revenue grew from US$240m to US$500m in three months, underscoring why Tencent is willing to trim a passive holding to fund direct AI stakes.</w:t>
      </w:r>
    </w:p>
    <w:p>
      <w:pPr>
        <w:pStyle w:val="BodyText"/>
      </w:pPr>
      <w:r>
        <w:rPr>
          <w:b/>
          <w:bCs/>
        </w:rPr>
        <w:t xml:space="preserve">References</w:t>
      </w:r>
    </w:p>
    <w:p>
      <w:pPr>
        <w:pStyle w:val="BodyText"/>
      </w:pPr>
      <w:r>
        <w:t xml:space="preserve">[6] Reuters. (2026, July 7). Tencent trims stake in China’s Kuaishou, shares slide. Investing.com. https://www.investing.com/news/stock-market-news/tencent-trims-stake-in-chinas-kuaishou-shares-slide-4778244</w:t>
      </w:r>
      <w:r>
        <w:t xml:space="preserve"> </w:t>
      </w:r>
      <w:r>
        <w:t xml:space="preserve">[7] Bloomberg. (2026, July 6). Tencent sells $1.5 billion Kuaishou stake as AI pivot quickens. Bloomberg. https://www.bloomberg.com/news/articles/2026-07-06/tencent-sells-1-5-billion-kuaishou-stake-as-ai-pivot-quickens</w:t>
      </w:r>
      <w:r>
        <w:t xml:space="preserve"> </w:t>
      </w:r>
      <w:r>
        <w:t xml:space="preserve">[8] The Edge Singapore. (2026, July 6). Tencent seeks to sell US$1.6 bil stake in Kuaishou. The Edge Singapore. https://www.theedgesingapore.com/capital/tencent-seeks-sell-us16-bil-stake-kuaishou</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e2c375c0606a9451ec468d810f38125e0625310"/>
    <w:p>
      <w:pPr>
        <w:pStyle w:val="Heading3"/>
      </w:pPr>
      <w:r>
        <w:t xml:space="preserve">China test-fires submarine-launched ballistic missile into South Pacific</w:t>
      </w:r>
    </w:p>
    <w:p>
      <w:pPr>
        <w:pStyle w:val="FirstParagraph"/>
      </w:pPr>
      <w:r>
        <w:t xml:space="preserve">China’s PLA Navy test-launched a long-range ballistic missile from a nuclear-powered submarine in the South Pacific at 12:01 p.m. local time on July 7, 2026. Analysts identified the weapon as a JL-3 SLBM, with a range exceeding 10,000 km, fired from a Type 094 (Jin-class) submarine and carrying a non-nuclear dummy warhead that impacted within the South Pacific Nuclear Free Zone established under the 1986 Treaty of Rarotonga. China acknowledged the launch through Xinhua and the Ministry of Defense, calling it</w:t>
      </w:r>
      <w:r>
        <w:t xml:space="preserve"> </w:t>
      </w:r>
      <w:r>
        <w:t xml:space="preserve">“part of routine annual training, complied with international law and practice and was not directed against any country or target.”</w:t>
      </w:r>
    </w:p>
    <w:p>
      <w:pPr>
        <w:pStyle w:val="BodyText"/>
      </w:pPr>
      <w:r>
        <w:t xml:space="preserve">Beijing notified Australia, Japan, and New Zealand in advance but not the United States, and the timing coincided with Australia and Fiji signing a bilateral mutual-defense treaty, the</w:t>
      </w:r>
      <w:r>
        <w:t xml:space="preserve"> </w:t>
      </w:r>
      <w:r>
        <w:t xml:space="preserve">“Ocean of Peace.”</w:t>
      </w:r>
      <w:r>
        <w:t xml:space="preserve"> </w:t>
      </w:r>
      <w:r>
        <w:t xml:space="preserve">Australian Foreign Minister Penny Wong called the test</w:t>
      </w:r>
      <w:r>
        <w:t xml:space="preserve"> </w:t>
      </w:r>
      <w:r>
        <w:t xml:space="preserve">“destabilizing to the region.”</w:t>
      </w:r>
      <w:r>
        <w:t xml:space="preserve"> </w:t>
      </w:r>
      <w:r>
        <w:t xml:space="preserve">New Zealand Foreign Minister Winston Peters noted,</w:t>
      </w:r>
      <w:r>
        <w:t xml:space="preserve"> </w:t>
      </w:r>
      <w:r>
        <w:t xml:space="preserve">“China carried out the test within hours of informing us.”</w:t>
      </w:r>
      <w:r>
        <w:t xml:space="preserve"> </w:t>
      </w:r>
      <w:r>
        <w:t xml:space="preserve">US State Department spokesperson Thomas Pigott said,</w:t>
      </w:r>
      <w:r>
        <w:t xml:space="preserve"> </w:t>
      </w:r>
      <w:r>
        <w:t xml:space="preserve">“Beijing’s rapid and opaque nuclear weapons buildup is of great concern.”</w:t>
      </w:r>
    </w:p>
    <w:p>
      <w:pPr>
        <w:pStyle w:val="BodyText"/>
      </w:pPr>
      <w:r>
        <w:t xml:space="preserve">Defense analyst Lyle Morris described it as the first publicly acknowledged test demonstrating China’s submarine-based nuclear deterrent reaching this far into the Pacific. China operates six Type 094 submarines, and the launch follows the country’s September 2024 DF-31B ICBM test into the same region.</w:t>
      </w:r>
    </w:p>
    <w:p>
      <w:pPr>
        <w:pStyle w:val="BodyText"/>
      </w:pPr>
      <w:r>
        <w:rPr>
          <w:b/>
          <w:bCs/>
        </w:rPr>
        <w:t xml:space="preserve">References</w:t>
      </w:r>
    </w:p>
    <w:p>
      <w:pPr>
        <w:pStyle w:val="BodyText"/>
      </w:pPr>
      <w:r>
        <w:t xml:space="preserve">[9] The Associated Press. (2026, July 7). China test-launches a ballistic missile in the South Pacific and raises regional concerns. WGCU. https://www.wgcu.org/2026-07-07/china-test-launches-a-ballistic-missile-in-the-south-pacific-and-raises-regional-concerns</w:t>
      </w:r>
      <w:r>
        <w:t xml:space="preserve"> </w:t>
      </w:r>
      <w:r>
        <w:t xml:space="preserve">[10] NPR. (2026, July 7). China test-launches a ballistic missile in the South Pacific. NPR. https://www.npr.org/2026/07/07/nx-s1-5884537/china-ballistic-missile-south-pacific</w:t>
      </w:r>
      <w:r>
        <w:t xml:space="preserve"> </w:t>
      </w:r>
      <w:r>
        <w:t xml:space="preserve">[11] CNN. (2026, July 6). China conducts rare submarine-launched ballistic missile test, angering Pacific neighbors. CNN. https://www.cnn.com/2026/07/06/china/china-tests-submarine-launched-ballistic-missile-intl-hnk-ml</w:t>
      </w:r>
    </w:p>
    <w:p>
      <w:r>
        <w:pict>
          <v:rect style="width:0;height:1.5pt" o:hralign="center" o:hrstd="t" o:hr="t"/>
        </w:pict>
      </w:r>
    </w:p>
    <w:bookmarkEnd w:id="13"/>
    <w:bookmarkStart w:id="14" w:name="Xc572ae5a0b26f3c164092908fb121ebfd1cd7de"/>
    <w:p>
      <w:pPr>
        <w:pStyle w:val="Heading3"/>
      </w:pPr>
      <w:r>
        <w:t xml:space="preserve">Xi gives Trump an</w:t>
      </w:r>
      <w:r>
        <w:t xml:space="preserve"> </w:t>
      </w:r>
      <w:r>
        <w:t xml:space="preserve">“easy win”</w:t>
      </w:r>
      <w:r>
        <w:t xml:space="preserve"> </w:t>
      </w:r>
      <w:r>
        <w:t xml:space="preserve">with pastor release, smoothing path to September summit</w:t>
      </w:r>
    </w:p>
    <w:p>
      <w:pPr>
        <w:pStyle w:val="FirstParagraph"/>
      </w:pPr>
      <w:r>
        <w:t xml:space="preserve">Bloomberg’s July 7 analysis frames Xi Jinping’s release, at Donald Trump’s personal request, of Pastor Ezra Jin Mingri — leader of the unregistered Zion Church — as a low-cost gesture that showcases warming US-China relations and clears the path toward a September 2026 summit. Jin was detained in October 2025 in a nationwide crackdown on the Zion Church, and Trump raised the case at the May 13-15, 2026 US-China summit in Beijing. Jin arrived in Los Angeles on July 4, 2026, the United States’ 250th birthday, in a piece of choreographed timing.</w:t>
      </w:r>
    </w:p>
    <w:p>
      <w:pPr>
        <w:pStyle w:val="BodyText"/>
      </w:pPr>
      <w:r>
        <w:t xml:space="preserve">The pastor had been held 266 days before his release on July 3, according to Baptist Press, and was reunited in Los Angeles with his wife, Anna Liu, and daughter Grace, both of whom had campaigned for his freedom in the US. He and 17 other Zion Church leaders were detained in October 2025 in one of China’s largest crackdowns on a single congregation in decades. The US-based group ChinaAid confirmed the release; Human Rights Watch says at least 8 other Zion Church members remain detained, and advocates continue to press for their freedom.</w:t>
      </w:r>
    </w:p>
    <w:p>
      <w:pPr>
        <w:pStyle w:val="BodyText"/>
      </w:pPr>
      <w:r>
        <w:t xml:space="preserve">The diplomatic dividend is the larger story. Trump has invited Xi to the White House around September 24, 2026, coinciding with the UN General Assembly, and the pastor’s release removes a persistent human-rights irritant ahead of that meeting. Al Jazeera reported the gesture landed as both governments sought to stabilize ties strained by tariffs and technology controls.</w:t>
      </w:r>
    </w:p>
    <w:p>
      <w:pPr>
        <w:pStyle w:val="BodyText"/>
      </w:pPr>
      <w:r>
        <w:rPr>
          <w:b/>
          <w:bCs/>
        </w:rPr>
        <w:t xml:space="preserve">References</w:t>
      </w:r>
    </w:p>
    <w:p>
      <w:pPr>
        <w:pStyle w:val="BodyText"/>
      </w:pPr>
      <w:r>
        <w:t xml:space="preserve">[12] Bloomberg. (2026, July 7). Xi gives Trump an easy win, smoothing path for next summit. Bloomberg. https://www.bloomberg.com/news/articles/2026-07-07/xi-gives-trump-an-easy-win-smoothing-path-for-next-summit</w:t>
      </w:r>
      <w:r>
        <w:t xml:space="preserve"> </w:t>
      </w:r>
      <w:r>
        <w:t xml:space="preserve">[13] NPR. (2026, July 5). Pastor freed from prison in China weeks after Trump requested his release. NPR. https://www.npr.org/2026/07/05/nx-s1-5882784/pastor-freed-prison-china-trump-request</w:t>
      </w:r>
      <w:r>
        <w:t xml:space="preserve"> </w:t>
      </w:r>
      <w:r>
        <w:t xml:space="preserve">[14] Baptist Press. (2026, July 6). Pastor Ezra Jin safe in U.S. after China frees him in July 4</w:t>
      </w:r>
      <w:r>
        <w:t xml:space="preserve"> </w:t>
      </w:r>
      <w:r>
        <w:t xml:space="preserve">‘goodwill gesture.’</w:t>
      </w:r>
      <w:r>
        <w:t xml:space="preserve"> </w:t>
      </w:r>
      <w:r>
        <w:t xml:space="preserve">Baptist Press. https://www.baptistpress.com/resource-library/news/pastor-ezra-jin-safe-in-u-s-after-china-frees-him-in-july-4-goodwill-gesture/</w:t>
      </w:r>
      <w:r>
        <w:t xml:space="preserve"> </w:t>
      </w:r>
      <w:r>
        <w:t xml:space="preserve">[15] Al Jazeera. (2026, July 5). China releases underground church pastor after months in detention. Al Jazeera. https://www.aljazeera.com/news/2026/7/5/china-releases-underground-church-pastor-after-months-in-detention</w:t>
      </w:r>
    </w:p>
    <w:p>
      <w:r>
        <w:pict>
          <v:rect style="width:0;height:1.5pt" o:hralign="center" o:hrstd="t" o:hr="t"/>
        </w:pict>
      </w:r>
    </w:p>
    <w:bookmarkEnd w:id="14"/>
    <w:bookmarkStart w:id="15" w:name="X223f7da2ff595ca13431ca8804b7f54ad00e22c"/>
    <w:p>
      <w:pPr>
        <w:pStyle w:val="Heading3"/>
      </w:pPr>
      <w:r>
        <w:t xml:space="preserve">Wang Yi in Oslo: Norway urges China to press Russia toward Ukraine talks</w:t>
      </w:r>
    </w:p>
    <w:p>
      <w:pPr>
        <w:pStyle w:val="FirstParagraph"/>
      </w:pPr>
      <w:r>
        <w:t xml:space="preserve">Chinese Foreign Minister Wang Yi completed the Oslo leg of his week-long Nordic tour on July 7, 2026, meeting Norwegian Prime Minister Jonas Gahr Store and Foreign Minister Espen Barth Eide after stops that included Denmark on July 3, Sweden, and Finland — the most comprehensive Chinese foreign-ministerial engagement with the Nordic region in years. Ukraine dominated the Oslo discussions. Store told reporters,</w:t>
      </w:r>
      <w:r>
        <w:t xml:space="preserve"> </w:t>
      </w:r>
      <w:r>
        <w:t xml:space="preserve">“China is probably the country with the best and most direct access to the Russian leadership. We expect, hope and strongly urge China to use that channel.”</w:t>
      </w:r>
    </w:p>
    <w:p>
      <w:pPr>
        <w:pStyle w:val="BodyText"/>
      </w:pPr>
      <w:r>
        <w:t xml:space="preserve">Store warned that a</w:t>
      </w:r>
      <w:r>
        <w:t xml:space="preserve"> </w:t>
      </w:r>
      <w:r>
        <w:t xml:space="preserve">“cheap ceasefire forcing Ukraine to give up land”</w:t>
      </w:r>
      <w:r>
        <w:t xml:space="preserve"> </w:t>
      </w:r>
      <w:r>
        <w:t xml:space="preserve">would create an</w:t>
      </w:r>
      <w:r>
        <w:t xml:space="preserve"> </w:t>
      </w:r>
      <w:r>
        <w:t xml:space="preserve">“expensive peace for Europe.”</w:t>
      </w:r>
      <w:r>
        <w:t xml:space="preserve"> </w:t>
      </w:r>
      <w:r>
        <w:t xml:space="preserve">Eide called the dialogue on ending the war</w:t>
      </w:r>
      <w:r>
        <w:t xml:space="preserve"> </w:t>
      </w:r>
      <w:r>
        <w:t xml:space="preserve">“constructive and promising,”</w:t>
      </w:r>
      <w:r>
        <w:t xml:space="preserve"> </w:t>
      </w:r>
      <w:r>
        <w:t xml:space="preserve">noting</w:t>
      </w:r>
      <w:r>
        <w:t xml:space="preserve"> </w:t>
      </w:r>
      <w:r>
        <w:t xml:space="preserve">“hints”</w:t>
      </w:r>
      <w:r>
        <w:t xml:space="preserve"> </w:t>
      </w:r>
      <w:r>
        <w:t xml:space="preserve">in Beijing’s position of a potential willingness to apply pressure on Moscow. China’s official readout of the meeting omitted any reference to Russia or Ukraine, focusing instead on trade ties, the green economy, and AI cooperation — a gap that underscored the distance between the two sides’ public messaging.</w:t>
      </w:r>
    </w:p>
    <w:p>
      <w:pPr>
        <w:pStyle w:val="BodyText"/>
      </w:pPr>
      <w:r>
        <w:t xml:space="preserve">Wang’s consistent message across the tour was that China and Europe are</w:t>
      </w:r>
      <w:r>
        <w:t xml:space="preserve"> </w:t>
      </w:r>
      <w:r>
        <w:t xml:space="preserve">“partners, not rivals.”</w:t>
      </w:r>
      <w:r>
        <w:t xml:space="preserve"> </w:t>
      </w:r>
      <w:r>
        <w:t xml:space="preserve">The Oslo talks ran concurrently with the NATO summit in Ankara on July 7-8, where Secretary General Mark Rutte highlighted China’s deepening defense-industrial cooperation with Russia as a core alliance concern.</w:t>
      </w:r>
    </w:p>
    <w:p>
      <w:pPr>
        <w:pStyle w:val="BodyText"/>
      </w:pPr>
      <w:r>
        <w:rPr>
          <w:b/>
          <w:bCs/>
        </w:rPr>
        <w:t xml:space="preserve">References</w:t>
      </w:r>
    </w:p>
    <w:p>
      <w:pPr>
        <w:pStyle w:val="BodyText"/>
      </w:pPr>
      <w:r>
        <w:t xml:space="preserve">[16] Reuters. (2026, July 7). Norway urges China to help bring Russia to Ukraine peace talks. EuropeSays. https://www.europesays.com/ukraine/13875/</w:t>
      </w:r>
      <w:r>
        <w:t xml:space="preserve"> </w:t>
      </w:r>
      <w:r>
        <w:t xml:space="preserve">[17] Reuters. (2026, July 6). Norway urges China to help bring Russia to Ukraine peace talks. U.S. News &amp; World Report. https://www.usnews.com/news/world/articles/2026-07-06/norway-urges-china-to-help-bring-russia-to-ukraine-peace-talks</w:t>
      </w:r>
    </w:p>
    <w:p>
      <w:r>
        <w:pict>
          <v:rect style="width:0;height:1.5pt" o:hralign="center" o:hrstd="t" o:hr="t"/>
        </w:pict>
      </w:r>
    </w:p>
    <w:bookmarkEnd w:id="15"/>
    <w:bookmarkEnd w:id="16"/>
    <w:bookmarkStart w:id="19" w:name="technology-industry"/>
    <w:p>
      <w:pPr>
        <w:pStyle w:val="Heading2"/>
      </w:pPr>
      <w:r>
        <w:t xml:space="preserve">3. Technology &amp; Industry</w:t>
      </w:r>
    </w:p>
    <w:bookmarkStart w:id="17" w:name="Xdca2543c51edb113579d35cad2a22fb88ad9b4b"/>
    <w:p>
      <w:pPr>
        <w:pStyle w:val="Heading3"/>
      </w:pPr>
      <w:r>
        <w:t xml:space="preserve">Chinese companies accelerate shift from Nvidia to domestic AI chip suppliers, Bloomberg Intelligence survey finds</w:t>
      </w:r>
    </w:p>
    <w:p>
      <w:pPr>
        <w:pStyle w:val="FirstParagraph"/>
      </w:pPr>
      <w:r>
        <w:t xml:space="preserve">A Bloomberg Intelligence survey released Tuesday, July 7, 2026 found Chinese companies moving decisively from Nvidia accelerators to domestic silicon. Executives said they will allocate 46% of their AI-accelerator budget to domestic products over the next 12 months, up from 30% currently, and 80% reported that total infrastructure spending is over-budget this year, chiefly because of AI project costs. The main beneficiaries are Huawei, whose Ascend 910C is targeted at 600,000 units in 2026, and Cambricon, the first domestic AI chip firm to turn a profit, targeting 500,000 shipments in 2026.</w:t>
      </w:r>
    </w:p>
    <w:p>
      <w:pPr>
        <w:pStyle w:val="BodyText"/>
      </w:pPr>
      <w:r>
        <w:t xml:space="preserve">The market has already tilted sharply. Nvidia’s China AI-accelerator share has fallen from about 95% before US export controls to an estimated 8% in 2026, while Huawei’s is expected to reach roughly 50%. China’s government procurement list has added approved domestic chips from Huawei, Alibaba T-Head, Biren, Hygon, Iluvatar CoreX, MetaX, and Moore Threads. CNBC reported that Goldman Sachs analysts see the pivot accelerating across 2026-28, noting that DeepSeek’s latest model runs on eight China-made chips including Huawei and Alibaba T-Head parts. The South China Morning Post cited forecasts that domestic suppliers led by Huawei and Cambricon could hold 56% of China’s AI server chip market in 2026, up from 46% in 2025.</w:t>
      </w:r>
    </w:p>
    <w:p>
      <w:pPr>
        <w:pStyle w:val="BodyText"/>
      </w:pPr>
      <w:r>
        <w:t xml:space="preserve">Goldman Sachs projects China’s top internet firms will invest more than $70bn in data-centre infrastructure in 2026. Morgan Stanley chief China economist Robin Xing expects Beijing to</w:t>
      </w:r>
      <w:r>
        <w:t xml:space="preserve"> </w:t>
      </w:r>
      <w:r>
        <w:t xml:space="preserve">“step up a capex-centric fiscal rollout starting in Q3, primarily focused on AI and power grids rather than consumption.”</w:t>
      </w:r>
    </w:p>
    <w:p>
      <w:pPr>
        <w:pStyle w:val="BodyText"/>
      </w:pPr>
      <w:r>
        <w:rPr>
          <w:b/>
          <w:bCs/>
        </w:rPr>
        <w:t xml:space="preserve">References</w:t>
      </w:r>
    </w:p>
    <w:p>
      <w:pPr>
        <w:pStyle w:val="BodyText"/>
      </w:pPr>
      <w:r>
        <w:t xml:space="preserve">[18] Bloomberg. (2026, July 7). Chinese firms leave Nvidia for local AI suppliers, survey shows. Bloomberg. https://www.bloomberg.com/news/articles/2026-07-07/chinese-firms-leave-nvidia-for-local-ai-suppliers-survey-shows</w:t>
      </w:r>
      <w:r>
        <w:t xml:space="preserve"> </w:t>
      </w:r>
      <w:r>
        <w:t xml:space="preserve">[19] CNBC. (2026, July 7). China AI chips: Nvidia, Huawei, Cambricon. CNBC. https://www.cnbc.com/2026/07/07/china-ai-chips-nvidia-huawei-cambricon.html</w:t>
      </w:r>
      <w:r>
        <w:t xml:space="preserve"> </w:t>
      </w:r>
      <w:r>
        <w:t xml:space="preserve">[20] South China Morning Post. (2026, July 7). Huawei and Cambricon lead China’s AI server chip surge, piling pressure on Nvidia. South China Morning Post. https://www.scmp.com/tech/article/3358322/huawei-and-cambricon-lead-chinas-ai-server-chip-surge-piling-pressure-nvidia</w:t>
      </w:r>
    </w:p>
    <w:p>
      <w:r>
        <w:pict>
          <v:rect style="width:0;height:1.5pt" o:hralign="center" o:hrstd="t" o:hr="t"/>
        </w:pict>
      </w:r>
    </w:p>
    <w:bookmarkEnd w:id="17"/>
    <w:bookmarkStart w:id="18" w:name="Xa6c6afa0b624fe9cecdcec0f5cdd60f6a991700"/>
    <w:p>
      <w:pPr>
        <w:pStyle w:val="Heading3"/>
      </w:pPr>
      <w:r>
        <w:t xml:space="preserve">Asian PCB and semiconductor stocks tumble after report of &gt;1-year delay to Nvidia’s Kyber NVL144 AI server</w:t>
      </w:r>
    </w:p>
    <w:p>
      <w:pPr>
        <w:pStyle w:val="FirstParagraph"/>
      </w:pPr>
      <w:r>
        <w:t xml:space="preserve">Research firm SemiAnalysis reported around July 6-7, 2026 that Nvidia’s next-generation Kyber NVL144 AI server system faces a delay exceeding one year, citing PCB manufacturing difficulties including a 78-layer backplane, M9-grade materials, and yield and impedance challenges. The report triggered a broad Asia-Pacific selloff across printed-circuit-board and semiconductor names. On July 7, Japan’s Ibiden fell 10%, Hong Kong-listed Kingboard Laminates dropped 18%, Korea’s Samsung Electro-Mechanics declined 11%, and Taiwan’s Elite Material lost 9.95%, Nan Ya PCB 9.28%, Kinsus 8.4%, and Unimicron 5.37%. An MSCI sector gauge fell 8.5% over two weeks.</w:t>
      </w:r>
    </w:p>
    <w:p>
      <w:pPr>
        <w:pStyle w:val="BodyText"/>
      </w:pPr>
      <w:r>
        <w:t xml:space="preserve">The declines followed an extraordinary run-up: year-to-date before the selloff, Samsung Electro-Mechanics had risen roughly 600% and Kingboard about 470% on AI-infrastructure expectations, leaving the stocks exposed to any disappointment. An Nvidia spokesperson said,</w:t>
      </w:r>
      <w:r>
        <w:t xml:space="preserve"> </w:t>
      </w:r>
      <w:r>
        <w:t xml:space="preserve">“Our road map is intact.”</w:t>
      </w:r>
      <w:r>
        <w:t xml:space="preserve"> </w:t>
      </w:r>
      <w:r>
        <w:t xml:space="preserve">Gary Tan, a portfolio manager at Allspring Global Investments, said,</w:t>
      </w:r>
      <w:r>
        <w:t xml:space="preserve"> </w:t>
      </w:r>
      <w:r>
        <w:t xml:space="preserve">“A delay to Kyber does not necessarily imply weaker AI capital expenditure, but it more likely suggests that Nvidia’s most ambitious next-gen system architecture may take longer to deploy.”</w:t>
      </w:r>
      <w:r>
        <w:t xml:space="preserve"> </w:t>
      </w:r>
      <w:r>
        <w:t xml:space="preserve">For China, any slippage in Nvidia’s leading-edge servers could accelerate enterprise adoption of Huawei’s Ascend ecosystem.</w:t>
      </w:r>
    </w:p>
    <w:p>
      <w:pPr>
        <w:pStyle w:val="BodyText"/>
      </w:pPr>
      <w:r>
        <w:rPr>
          <w:i/>
          <w:iCs/>
        </w:rPr>
        <w:t xml:space="preserve">Note: only 2 stories met T1-T4 standards for this category today.</w:t>
      </w:r>
    </w:p>
    <w:p>
      <w:pPr>
        <w:pStyle w:val="BodyText"/>
      </w:pPr>
      <w:r>
        <w:rPr>
          <w:b/>
          <w:bCs/>
        </w:rPr>
        <w:t xml:space="preserve">References</w:t>
      </w:r>
    </w:p>
    <w:p>
      <w:pPr>
        <w:pStyle w:val="BodyText"/>
      </w:pPr>
      <w:r>
        <w:t xml:space="preserve">[21] Bloomberg. (2026, July 7). Nvidia Kyber delay sinks Asian chip suppliers. Taipei Times. https://www.taipeitimes.com/News/biz/archives/2026/07/07/2003860331</w:t>
      </w:r>
      <w:r>
        <w:t xml:space="preserve"> </w:t>
      </w:r>
      <w:r>
        <w:t xml:space="preserve">[22] Bloomberg. (2026, July 7). Nvidia Kyber delay sinks Asian chip suppliers. Bloomberg. https://www.bloomberg.com/news/articles/2026-07-07/nvidia-kyber-delay-sinks-asian-chip-suppliers</w:t>
      </w:r>
    </w:p>
    <w:p>
      <w:r>
        <w:pict>
          <v:rect style="width:0;height:1.5pt" o:hralign="center" o:hrstd="t" o:hr="t"/>
        </w:pict>
      </w:r>
    </w:p>
    <w:bookmarkEnd w:id="18"/>
    <w:bookmarkEnd w:id="19"/>
    <w:bookmarkStart w:id="22" w:name="society-livelihood"/>
    <w:p>
      <w:pPr>
        <w:pStyle w:val="Heading2"/>
      </w:pPr>
      <w:r>
        <w:t xml:space="preserve">4. Society &amp; Livelihood</w:t>
      </w:r>
    </w:p>
    <w:bookmarkStart w:id="20" w:name="Xea82e1bf94bf0df11955b720db5e81fc6494325"/>
    <w:p>
      <w:pPr>
        <w:pStyle w:val="Heading3"/>
      </w:pPr>
      <w:r>
        <w:t xml:space="preserve">China sentences former official Yang Youlin to death for 2.21 billion yuan corruption</w:t>
      </w:r>
    </w:p>
    <w:p>
      <w:pPr>
        <w:pStyle w:val="FirstParagraph"/>
      </w:pPr>
      <w:r>
        <w:t xml:space="preserve">The Changzhou Intermediate People’s Court in Jiangsu delivered a death sentence on July 7, 2026 against Yang Youlin, 69, former executive deputy director of the Nanjing Economic and Technological Development Zone Management Committee, for accepting bribes exceeding 2.21 billion yuan ($324-325 million) from 1993 to 2023 in exchange for favours spanning projects, business operations, land grants, and working capital. He was also convicted of embezzlement, misappropriation of public funds, offering bribes, abuse of power, and money laundering, drawing additional sentences ranging from six months to 11.5 years. Public hearings were held in March and April 2026, and the court ordered the seizure of all his personal property.</w:t>
      </w:r>
    </w:p>
    <w:p>
      <w:pPr>
        <w:pStyle w:val="BodyText"/>
      </w:pPr>
      <w:r>
        <w:t xml:space="preserve">Yang expressed</w:t>
      </w:r>
      <w:r>
        <w:t xml:space="preserve"> </w:t>
      </w:r>
      <w:r>
        <w:t xml:space="preserve">“guilt and remorse,”</w:t>
      </w:r>
      <w:r>
        <w:t xml:space="preserve"> </w:t>
      </w:r>
      <w:r>
        <w:t xml:space="preserve">according to the court. The case sits within Xi Jinping’s anti-corruption campaign, under which nearly 5 million officials have been investigated since 2012. Death sentences remain rare in graft cases, typically applied only when bribes exceed 1 billion yuan; the most prominent recent comparison is former Huarong chairman Lai Xiaomin, who was executed in 2021.</w:t>
      </w:r>
    </w:p>
    <w:p>
      <w:pPr>
        <w:pStyle w:val="BodyText"/>
      </w:pPr>
      <w:r>
        <w:rPr>
          <w:b/>
          <w:bCs/>
        </w:rPr>
        <w:t xml:space="preserve">References</w:t>
      </w:r>
    </w:p>
    <w:p>
      <w:pPr>
        <w:pStyle w:val="BodyText"/>
      </w:pPr>
      <w:r>
        <w:t xml:space="preserve">[23] Reuters &amp; The Associated Press. (2026, July 7). China sentences former local official to death in $324m corruption case. Al Jazeera. https://www.aljazeera.com/economy/2026/7/7/china-sentences-former-local-official-to-death-in-324m-corruption-case</w:t>
      </w:r>
      <w:r>
        <w:t xml:space="preserve"> </w:t>
      </w:r>
      <w:r>
        <w:t xml:space="preserve">[24] UPI. (2026, July 7). Yang Youlin death sentence. UPI. https://www.upi.com/Top_News/World-News/2026/07/07/Yang-Youlin-death-sentence/7491783400069/</w:t>
      </w:r>
    </w:p>
    <w:p>
      <w:r>
        <w:pict>
          <v:rect style="width:0;height:1.5pt" o:hralign="center" o:hrstd="t" o:hr="t"/>
        </w:pict>
      </w:r>
    </w:p>
    <w:bookmarkEnd w:id="20"/>
    <w:bookmarkStart w:id="21" w:name="X8b59a58feea60ca0353cef9fea594bac321c497"/>
    <w:p>
      <w:pPr>
        <w:pStyle w:val="Heading3"/>
      </w:pPr>
      <w:r>
        <w:t xml:space="preserve">Gansu landslide buries 16, Hubei tornadoes and typhoon rains drive nationwide toll past 15 as Typhoon Bavi looms</w:t>
      </w:r>
    </w:p>
    <w:p>
      <w:pPr>
        <w:pStyle w:val="FirstParagraph"/>
      </w:pPr>
      <w:r>
        <w:t xml:space="preserve">A landslide in mountainous Tanchang county, Gansu Province, buried 33 people on July 7, 2026; 17 were rescued and 16 remained buried at reporting time. President Xi Jinping ordered</w:t>
      </w:r>
      <w:r>
        <w:t xml:space="preserve"> </w:t>
      </w:r>
      <w:r>
        <w:t xml:space="preserve">“all-out efforts”</w:t>
      </w:r>
      <w:r>
        <w:t xml:space="preserve"> </w:t>
      </w:r>
      <w:r>
        <w:t xml:space="preserve">to organise emergency rescue, treat the injured, and resettle affected residents, according to CCTV. The same day,</w:t>
      </w:r>
      <w:r>
        <w:t xml:space="preserve"> </w:t>
      </w:r>
      <w:r>
        <w:t xml:space="preserve">“severe convective weather”</w:t>
      </w:r>
      <w:r>
        <w:t xml:space="preserve"> </w:t>
      </w:r>
      <w:r>
        <w:t xml:space="preserve">— thunderstorms, gale-force winds, and tornadoes described as</w:t>
      </w:r>
      <w:r>
        <w:t xml:space="preserve"> </w:t>
      </w:r>
      <w:r>
        <w:t xml:space="preserve">“extremely rare,”</w:t>
      </w:r>
      <w:r>
        <w:t xml:space="preserve"> </w:t>
      </w:r>
      <w:r>
        <w:t xml:space="preserve">last seen in May 2021 — struck Hubei Province, killing 11 and injuring 331 across Huangshi, Huanggang, Ezhou, and Xianning. Winds reached 149 kph, damaging 4,800 houses, collapsing 22, and forcing the evacuation of 408 residents in Hubei.</w:t>
      </w:r>
    </w:p>
    <w:p>
      <w:pPr>
        <w:pStyle w:val="BodyText"/>
      </w:pPr>
      <w:r>
        <w:t xml:space="preserve">In southern Guangxi, heavy rain from Typhoon Maysak killed at least 4 in Nanning, which raised its flood-control response to the highest Level 1 after a reservoir dam breach; about 48,000 people were evacuated across Guangxi. The combined nationwide toll reached at least 15 dead and more than 300 injured by July 7. Offshore, Super Typhoon Bavi, packing winds near 180 mph (290 kph), struck Guam, Tinian, Saipan, and Rota before tracking toward Taiwan and China’s east coast, with landfall expected later in the week.</w:t>
      </w:r>
    </w:p>
    <w:p>
      <w:pPr>
        <w:pStyle w:val="BodyText"/>
      </w:pPr>
      <w:r>
        <w:rPr>
          <w:i/>
          <w:iCs/>
        </w:rPr>
        <w:t xml:space="preserve">Note: only 2 stories met T1-T4 standards for this category today.</w:t>
      </w:r>
    </w:p>
    <w:p>
      <w:pPr>
        <w:pStyle w:val="BodyText"/>
      </w:pPr>
      <w:r>
        <w:rPr>
          <w:b/>
          <w:bCs/>
        </w:rPr>
        <w:t xml:space="preserve">References</w:t>
      </w:r>
    </w:p>
    <w:p>
      <w:pPr>
        <w:pStyle w:val="BodyText"/>
      </w:pPr>
      <w:r>
        <w:t xml:space="preserve">[25] Rogers, A. &amp; Reuters. (2026, July 7). At least 16 people buried following landslide in China. Al Jazeera. https://www.aljazeera.com/news/2026/7/7/at-least-people-buried-following-landslide-in-china</w:t>
      </w:r>
      <w:r>
        <w:t xml:space="preserve"> </w:t>
      </w:r>
      <w:r>
        <w:t xml:space="preserve">[26] Reuters. (2026, July 7). Tornadoes wreak havoc across central China as Typhoon Bavi looms offshore. Nikkei Asia. https://asia.nikkei.com/economy/natural-disasters/tornadoes-wreak-havoc-across-central-china-as-typhoon-bavi-looms-offshore</w:t>
      </w:r>
      <w:r>
        <w:t xml:space="preserve"> </w:t>
      </w:r>
      <w:r>
        <w:t xml:space="preserve">[27] Euronews. (2026, July 7). Death toll from China storms and floods rises to 15, state media says. Euronews. https://www.euronews.com/2026/07/07/death-toll-from-china-storms-and-floods-rises-to-15-state-media-says</w:t>
      </w:r>
      <w:r>
        <w:t xml:space="preserve"> </w:t>
      </w:r>
      <w:r>
        <w:t xml:space="preserve">[28] Phys.org. (2026, July 7). Death toll from China storms rises, hundreds injured. Phys.org. https://phys.org/news/2026-07-death-toll-china-storms-hundreds.html</w:t>
      </w:r>
    </w:p>
    <w:p>
      <w:r>
        <w:pict>
          <v:rect style="width:0;height:1.5pt" o:hralign="center" o:hrstd="t" o:hr="t"/>
        </w:pict>
      </w:r>
    </w:p>
    <w:bookmarkEnd w:id="21"/>
    <w:bookmarkEnd w:id="22"/>
    <w:bookmarkStart w:id="24" w:name="china-nexus-finance-investment"/>
    <w:p>
      <w:pPr>
        <w:pStyle w:val="Heading2"/>
      </w:pPr>
      <w:r>
        <w:t xml:space="preserve">5. China-Nexus Finance &amp; Investment</w:t>
      </w:r>
    </w:p>
    <w:bookmarkStart w:id="23" w:name="X671160e065b8aa7c067d2a035d529b915bc22b0"/>
    <w:p>
      <w:pPr>
        <w:pStyle w:val="Heading3"/>
      </w:pPr>
      <w:r>
        <w:t xml:space="preserve">USTR opens Section 301 forced-labor tariff hearings; China among 46 economies facing 12.5% additional duty</w:t>
      </w:r>
    </w:p>
    <w:p>
      <w:pPr>
        <w:pStyle w:val="FirstParagraph"/>
      </w:pPr>
      <w:r>
        <w:t xml:space="preserve">Beginning at 10:00 a.m. ET on Tuesday, July 7, 2026, the USTR Section 301 Committee convened public hearings at the US International Trade Commission at 500 E Street SW in Washington, DC on proposed responsive tariff actions against 60 economies found to have failed to impose or effectively enforce a prohibition on importing goods made with forced labor. The hearings run through July 9, 2026, following an investigation launched March 12, 2026 under Section 301(b). USTR findings issued June 2, 2026 concluded that 54 of the 60 economies failed to impose or enforce such a prohibition, while 6 imposed but did not effectively enforce it.</w:t>
      </w:r>
    </w:p>
    <w:p>
      <w:pPr>
        <w:pStyle w:val="BodyText"/>
      </w:pPr>
      <w:r>
        <w:t xml:space="preserve">The proposed rates split the field: a 10% additional duty on 14 economies — including the EU, Canada, and Mexico — that committed to reciprocal trade agreements, and a 12.5% additional duty on the remaining 46, including China, India, Japan, South Korea, Vietnam, and Hong Kong. Exclusions cover USMCA-qualifying goods, CAFTA-DR duty-free items, certain agricultural products, aerospace and semiconductor goods, and metals in HTSUS chapters 80-81. The written comment deadline was July 6, 2026, and Ambassador Jamieson Greer leads USTR. The action is distinct from the Xinjiang-specific UFLPA import ban already in force against Chinese goods.</w:t>
      </w:r>
    </w:p>
    <w:p>
      <w:pPr>
        <w:pStyle w:val="BodyText"/>
      </w:pPr>
      <w:r>
        <w:rPr>
          <w:i/>
          <w:iCs/>
        </w:rPr>
        <w:t xml:space="preserve">Note: only 1 story met T1-T4 standards for this category today.</w:t>
      </w:r>
    </w:p>
    <w:p>
      <w:pPr>
        <w:pStyle w:val="BodyText"/>
      </w:pPr>
      <w:r>
        <w:rPr>
          <w:b/>
          <w:bCs/>
        </w:rPr>
        <w:t xml:space="preserve">References</w:t>
      </w:r>
    </w:p>
    <w:p>
      <w:pPr>
        <w:pStyle w:val="BodyText"/>
      </w:pPr>
      <w:r>
        <w:t xml:space="preserve">[29] Office of the United States Trade Representative. (2026, July). Public hearings on proposed responsive action in Section 301 investigations relating to failures to take action on forced labor. USTR. https://ustr.gov/about/policy-offices/press-office/press-releases/2026/july/public-hearings-proposed-responsive-action-section-301-investigations-relating-failures-take-action</w:t>
      </w:r>
      <w:r>
        <w:t xml:space="preserve"> </w:t>
      </w:r>
      <w:r>
        <w:t xml:space="preserve">[30] Gibson Dunn. (2026, June). USTR proposes new Section 301 forced-labor tariffs covering most major US trading partners. Gibson Dunn. https://www.gibsondunn.com/ustr-proposes-new-section-301-forced-labor-tariffs-covering-most-major-us-trading-partners/</w:t>
      </w:r>
      <w:r>
        <w:t xml:space="preserve"> </w:t>
      </w:r>
      <w:r>
        <w:t xml:space="preserve">[31] CNBC. (2026, June 3). US tariffs on 60 economies over Section 301 forced labor. CNBC. https://www.cnbc.com/2026/06/03/us-tariffs-60-economies-section-301-forced-labor.html</w:t>
      </w:r>
    </w:p>
    <w:p>
      <w:r>
        <w:pict>
          <v:rect style="width:0;height:1.5pt" o:hralign="center" o:hrstd="t" o:hr="t"/>
        </w:pict>
      </w:r>
    </w:p>
    <w:bookmarkEnd w:id="23"/>
    <w:bookmarkEnd w:id="24"/>
    <w:bookmarkStart w:id="26" w:name="corporate-ipo-ma"/>
    <w:p>
      <w:pPr>
        <w:pStyle w:val="Heading2"/>
      </w:pPr>
      <w:r>
        <w:t xml:space="preserve">6. Corporate IPO &amp; M&amp;A</w:t>
      </w:r>
    </w:p>
    <w:bookmarkStart w:id="25" w:name="X9e43efb51b4155cb9eb4a450fb433581360d774"/>
    <w:p>
      <w:pPr>
        <w:pStyle w:val="Heading3"/>
      </w:pPr>
      <w:r>
        <w:t xml:space="preserve">Momenta Global announces $751M Hong Kong IPO allocation; GM-backed autonomous-driving firm to debut July 8</w:t>
      </w:r>
    </w:p>
    <w:p>
      <w:pPr>
        <w:pStyle w:val="FirstParagraph"/>
      </w:pPr>
      <w:r>
        <w:t xml:space="preserve">Momenta Global Limited (HKEX: 6880), a Suzhou-based autonomous-driving technology firm, announced Hong Kong IPO allocation results on July 7, 2026, with trading to begin July 8. It raised HK$5.89 billion (approx US$751 million) by selling 19,938,300 Class A shares at HK$295.60, valuing the company at about $9 billion. The offering was subscribed 414 times, drawing roughly 210,000 applications. Fourteen cornerstone investors committed about $376 million, equal to 49.95% of the offering: Mercedes-Benz, BlackRock funds, GIC, Fidelity International, Oaktree, Franklin Templeton, ChinaAMC, Boyu Capital, Toyota, Tencent, SAIC, and General Motors.</w:t>
      </w:r>
    </w:p>
    <w:p>
      <w:pPr>
        <w:pStyle w:val="BodyText"/>
      </w:pPr>
      <w:r>
        <w:t xml:space="preserve">Founded in 2016 by Cao Xudong, a former Microsoft researcher, Momenta provides ADAS software and plans to launch Robotaxi services in Abu Dhabi and Munich in 2026. Revenue grew 82.1% in 2025, and gross margin widened from 17.5% in 2023 to 71.6% in 2025, though its net loss widened to RMB 3.46 billion in 2025. About 60% of proceeds are earmarked for AI computing and R&amp;D and 20% for Robotaxi, under a WVR dual-class structure. The South China Morning Post reported the deal arrived as Hong Kong’s listing calendar filled with new offerings.</w:t>
      </w:r>
    </w:p>
    <w:p>
      <w:pPr>
        <w:pStyle w:val="BodyText"/>
      </w:pPr>
      <w:r>
        <w:rPr>
          <w:i/>
          <w:iCs/>
        </w:rPr>
        <w:t xml:space="preserve">Note: only 1 story met T1-T4 standards for this category today.</w:t>
      </w:r>
    </w:p>
    <w:p>
      <w:pPr>
        <w:pStyle w:val="BodyText"/>
      </w:pPr>
      <w:r>
        <w:rPr>
          <w:b/>
          <w:bCs/>
        </w:rPr>
        <w:t xml:space="preserve">References</w:t>
      </w:r>
    </w:p>
    <w:p>
      <w:pPr>
        <w:pStyle w:val="BodyText"/>
      </w:pPr>
      <w:r>
        <w:t xml:space="preserve">[32] Reuters. (2026, June 29). Momenta opens books for Hong Kong IPO, seeking $750 million. CnEVPost. https://cnevpost.com/2026/06/29/momenta-hk-ipo-seeking-750-million/</w:t>
      </w:r>
      <w:r>
        <w:t xml:space="preserve"> </w:t>
      </w:r>
      <w:r>
        <w:t xml:space="preserve">[33] Caproasia. (2026, June 30). China autonomous-driving company Momenta Hong Kong IPO to raise $751 million at $9 billion valuation. Caproasia. https://www.caproasia.com/2026/06/30/china-autonomous-driving-company-momenta-hong-kong-ipo-to-raise-751-million-at-9-billion-valuation-with-expected-ipo-listing-on-8th-july-2026-founded-in-2016-by-cao-xudong/</w:t>
      </w:r>
      <w:r>
        <w:t xml:space="preserve"> </w:t>
      </w:r>
      <w:r>
        <w:t xml:space="preserve">[34] Hong Kong Exchanges and Clearing. (2026, July 7). New listing information (stock code 6880). HKEXnews. https://www2.hkexnews.hk/New-Listings/New-Listing-Information/Main-Board</w:t>
      </w:r>
      <w:r>
        <w:t xml:space="preserve"> </w:t>
      </w:r>
      <w:r>
        <w:t xml:space="preserve">[35] South China Morning Post. (2026, July 7). China’s Momenta IPO oversubscribed 414 times as Hong Kong listings pack calendar. South China Morning Post. https://www.scmp.com/business/article/3359360/chinas-momenta-ipo-oversubscribed-414-times-hong-kong-listings-pack-calendar</w:t>
      </w:r>
    </w:p>
    <w:p>
      <w:r>
        <w:pict>
          <v:rect style="width:0;height:1.5pt" o:hralign="center" o:hrstd="t" o:hr="t"/>
        </w:pict>
      </w:r>
    </w:p>
    <w:bookmarkEnd w:id="25"/>
    <w:bookmarkEnd w:id="26"/>
    <w:bookmarkStart w:id="27" w:name="other-notable-events"/>
    <w:p>
      <w:pPr>
        <w:pStyle w:val="Heading2"/>
      </w:pPr>
      <w:r>
        <w:t xml:space="preserve">7. Other Notable Events</w:t>
      </w:r>
    </w:p>
    <w:p>
      <w:pPr>
        <w:pStyle w:val="FirstParagraph"/>
      </w:pPr>
      <w:r>
        <w:rPr>
          <w:i/>
          <w:iCs/>
        </w:rPr>
        <w:t xml:space="preserve">Note: no stories met T1-T4 standards for this category today.</w:t>
      </w:r>
    </w:p>
    <w:p>
      <w:r>
        <w:pict>
          <v:rect style="width:0;height:1.5pt" o:hralign="center" o:hrstd="t" o:hr="t"/>
        </w:pic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2026-07-07T09:23:31Z</dcterms:created>
  <dcterms:modified xsi:type="dcterms:W3CDTF">2026-07-07T09:23:31Z</dcterms:modified>
</cp:coreProperties>
</file>

<file path=docProps/custom.xml><?xml version="1.0" encoding="utf-8"?>
<Properties xmlns="http://schemas.openxmlformats.org/officeDocument/2006/custom-properties" xmlns:vt="http://schemas.openxmlformats.org/officeDocument/2006/docPropsVTypes"/>
</file>