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中国每日热点新闻-2026年6月2日"/>
    <w:p>
      <w:pPr>
        <w:pStyle w:val="Heading1"/>
      </w:pPr>
      <w:r>
        <w:rPr>
          <w:rFonts w:hint="eastAsia"/>
        </w:rPr>
        <w:t xml:space="preserve">中国每日热点新闻</w:t>
      </w:r>
      <w:r>
        <w:t xml:space="preserve"> — </w:t>
      </w:r>
      <w:r>
        <w:rPr>
          <w:rFonts w:hint="eastAsia"/>
        </w:rPr>
        <w:t xml:space="preserve">2026年6月2日</w:t>
      </w:r>
    </w:p>
    <w:bookmarkStart w:id="9" w:name="一经济与市场"/>
    <w:p>
      <w:pPr>
        <w:pStyle w:val="Heading2"/>
      </w:pPr>
      <w:r>
        <w:rPr>
          <w:rFonts w:hint="eastAsia"/>
        </w:rPr>
        <w:t xml:space="preserve">一、经济与市场</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9"/>
    <w:bookmarkStart w:id="11" w:name="二政治与外交"/>
    <w:p>
      <w:pPr>
        <w:pStyle w:val="Heading2"/>
      </w:pPr>
      <w:r>
        <w:rPr>
          <w:rFonts w:hint="eastAsia"/>
        </w:rPr>
        <w:t xml:space="preserve">二、政治与外交</w:t>
      </w:r>
    </w:p>
    <w:bookmarkStart w:id="10" w:name="英国外相库珀访华会见韩正与王毅第十一轮中英战略对话聚焦基于规则的国际秩序"/>
    <w:p>
      <w:pPr>
        <w:pStyle w:val="Heading3"/>
      </w:pPr>
      <w:r>
        <w:rPr>
          <w:rFonts w:hint="eastAsia"/>
        </w:rPr>
        <w:t xml:space="preserve">英国外相库珀访华会见韩正与王毅，第十一轮中英战略对话聚焦“基于规则的国际秩序”</w:t>
      </w:r>
    </w:p>
    <w:p>
      <w:pPr>
        <w:pStyle w:val="FirstParagraph"/>
      </w:pPr>
      <w:r>
        <w:rPr>
          <w:rFonts w:hint="eastAsia"/>
        </w:rPr>
        <w:t xml:space="preserve">英国外交大臣库珀（Yvette</w:t>
      </w:r>
      <w:r>
        <w:t xml:space="preserve"> </w:t>
      </w:r>
      <w:r>
        <w:rPr>
          <w:rFonts w:hint="eastAsia"/>
        </w:rPr>
        <w:t xml:space="preserve">Cooper）6月2日在北京人民大会堂会见中国国家副主席韩正，随后在钓鱼台国宾馆与外交部长王毅举行会谈。这是为期三天的亚洲行的第二日，也构成第十一轮中英战略对话的正式机制环节。库珀在会面中表示，“维护基于规则的国际秩序、寻找途径缓解日益加剧的地缘经济紧张局势，符合我们的共同利益”，将“规则”与“地缘经济”两个英方近年来反复使用的关键词同时摆上桌面。</w:t>
      </w:r>
    </w:p>
    <w:p>
      <w:pPr>
        <w:pStyle w:val="BodyText"/>
      </w:pPr>
      <w:r>
        <w:rPr>
          <w:rFonts w:hint="eastAsia"/>
        </w:rPr>
        <w:t xml:space="preserve">韩正在会见中回顾今年1月英国首相斯塔默（Keir</w:t>
      </w:r>
      <w:r>
        <w:t xml:space="preserve"> </w:t>
      </w:r>
      <w:r>
        <w:rPr>
          <w:rFonts w:hint="eastAsia"/>
        </w:rPr>
        <w:t xml:space="preserve">Starmer）访华开启的“双边关系新篇章”，并提出通过“全面战略对话”机制深化合作。王毅同库珀的会谈则覆盖乌克兰战事、伊朗局势以及刚果（金）埃博拉疫情等多个地区议题，被中方定义为落实两国领导人共识、推进务实合作的延续。中国外交部此前披露，库珀此访自6月1日至3日，行程末段将转赴深圳，参访当地科创园区。</w:t>
      </w:r>
    </w:p>
    <w:p>
      <w:pPr>
        <w:pStyle w:val="BodyText"/>
      </w:pPr>
      <w:r>
        <w:rPr>
          <w:rFonts w:hint="eastAsia"/>
        </w:rPr>
        <w:t xml:space="preserve">英方议程并不止于经济与外交礼仪。据随访信息，库珀预计在闭门环节向中方提出新疆维吾尔族待遇问题，以及被关押的英籍香港公民黎智英（Jimmy</w:t>
      </w:r>
      <w:r>
        <w:t xml:space="preserve"> </w:t>
      </w:r>
      <w:r>
        <w:rPr>
          <w:rFonts w:hint="eastAsia"/>
        </w:rPr>
        <w:t xml:space="preserve">Lai）案。英国代表团此次使用加密“一次性手机”进入中国，反映伦敦对监控与间谍风险的判断未因关系回暖而松动。中英战略对话自2010年首轮开启以来已延续多年，斯塔默1月访华期间达成的合作框架，是当前北京愿意将议程升级为“全面战略对话”的现实基础。</w:t>
      </w:r>
    </w:p>
    <w:p>
      <w:pPr>
        <w:pStyle w:val="BodyText"/>
      </w:pPr>
      <w:r>
        <w:rPr>
          <w:b/>
          <w:bCs/>
        </w:rPr>
        <w:t xml:space="preserve">References</w:t>
      </w:r>
    </w:p>
    <w:p>
      <w:pPr>
        <w:pStyle w:val="BodyText"/>
      </w:pPr>
      <w:r>
        <w:t xml:space="preserve">[1] DPA. (2026, June 2). UK’s Cooper urges rules-based order, raises tensions in Beijing. Yahoo News. https://www.yahoo.com/news/world/articles/uks-cooper-rules-based-order-055539466.html</w:t>
      </w:r>
      <w:r>
        <w:t xml:space="preserve"> </w:t>
      </w:r>
      <w:r>
        <w:t xml:space="preserve">[2] Ministry of Foreign Affairs of the People’s Republic of China. (2026, May 31). UK Foreign Secretary Yvette Cooper to Visit China and Hold the 11th China-UK Strategic Dialogue. Ministry of Foreign Affairs of the People’s Republic of China. https://www.fmprc.gov.cn/eng/xw/wsrc/202605/t20260531_11921896.html</w:t>
      </w:r>
      <w:r>
        <w:t xml:space="preserve"> </w:t>
      </w:r>
      <w:r>
        <w:t xml:space="preserve">[3] Xinhua. (2026, May 31). UK foreign secretary to visit China, hold 11th China-UK strategic dialogue. Xinhua News. https://english.news.cn/europe/20260531/338459973ea54acc9b5a86ca53da6b86/c.html</w:t>
      </w:r>
    </w:p>
    <w:p>
      <w:r>
        <w:pict>
          <v:rect style="width:0;height:1.5pt" o:hralign="center" o:hrstd="t" o:hr="t"/>
        </w:pict>
      </w:r>
    </w:p>
    <w:bookmarkEnd w:id="10"/>
    <w:bookmarkEnd w:id="11"/>
    <w:bookmarkStart w:id="14" w:name="三科技与产业"/>
    <w:p>
      <w:pPr>
        <w:pStyle w:val="Heading2"/>
      </w:pPr>
      <w:r>
        <w:rPr>
          <w:rFonts w:hint="eastAsia"/>
        </w:rPr>
        <w:t xml:space="preserve">三、科技与产业</w:t>
      </w:r>
    </w:p>
    <w:bookmarkStart w:id="12" w:name="涉军中国高校通过公开采购记录寻求英伟达-h200绕开美方出口管制视线"/>
    <w:p>
      <w:pPr>
        <w:pStyle w:val="Heading3"/>
      </w:pPr>
      <w:r>
        <w:rPr>
          <w:rFonts w:hint="eastAsia"/>
        </w:rPr>
        <w:t xml:space="preserve">涉军中国高校通过公开采购记录寻求英伟达</w:t>
      </w:r>
      <w:r>
        <w:t xml:space="preserve"> </w:t>
      </w:r>
      <w:r>
        <w:rPr>
          <w:rFonts w:hint="eastAsia"/>
        </w:rPr>
        <w:t xml:space="preserve">H200，绕开美方出口管制视线</w:t>
      </w:r>
    </w:p>
    <w:p>
      <w:pPr>
        <w:pStyle w:val="FirstParagraph"/>
      </w:pPr>
      <w:r>
        <w:rPr>
          <w:rFonts w:hint="eastAsia"/>
        </w:rPr>
        <w:t xml:space="preserve">至少7所与中国人民解放军有合作关系的中国高校，正通过公开政府采购记录寻求获取英伟达（Nvidia）最先进的</w:t>
      </w:r>
      <w:r>
        <w:t xml:space="preserve"> H200 AI </w:t>
      </w:r>
      <w:r>
        <w:rPr>
          <w:rFonts w:hint="eastAsia"/>
        </w:rPr>
        <w:t xml:space="preserve">芯片。彭博社披露的统计进一步显示，已被识别出与中国军方及国防工业存在合作的中国高校与实验室总数超过25家，其中北京航空航天大学（Beihang</w:t>
      </w:r>
      <w:r>
        <w:t xml:space="preserve"> </w:t>
      </w:r>
      <w:r>
        <w:rPr>
          <w:rFonts w:hint="eastAsia"/>
        </w:rPr>
        <w:t xml:space="preserve">University）与西北工业大学（Northwestern</w:t>
      </w:r>
      <w:r>
        <w:t xml:space="preserve"> Polytechnical </w:t>
      </w:r>
      <w:r>
        <w:rPr>
          <w:rFonts w:hint="eastAsia"/>
        </w:rPr>
        <w:t xml:space="preserve">University）均位列被官方称为“国防七子”的中国国防类高校群。</w:t>
      </w:r>
    </w:p>
    <w:p>
      <w:pPr>
        <w:pStyle w:val="BodyText"/>
      </w:pPr>
      <w:r>
        <w:t xml:space="preserve">H200 </w:t>
      </w:r>
      <w:r>
        <w:rPr>
          <w:rFonts w:hint="eastAsia"/>
        </w:rPr>
        <w:t xml:space="preserve">此前是美国允许在华销售的最强</w:t>
      </w:r>
      <w:r>
        <w:t xml:space="preserve"> AI </w:t>
      </w:r>
      <w:r>
        <w:rPr>
          <w:rFonts w:hint="eastAsia"/>
        </w:rPr>
        <w:t xml:space="preserve">处理器。监管路径几经反复：2025年4月特朗普政府禁止</w:t>
      </w:r>
      <w:r>
        <w:t xml:space="preserve"> H200 </w:t>
      </w:r>
      <w:r>
        <w:rPr>
          <w:rFonts w:hint="eastAsia"/>
        </w:rPr>
        <w:t xml:space="preserve">对华出口，4个月后以15%出口费换取重新放行；2025年12月特朗普再宣布以25%出口税允许销售；2026年1月13日美国商务部工业与安全局发布新规，要求逐案审查</w:t>
      </w:r>
      <w:r>
        <w:t xml:space="preserve"> H200、AMD MI325X </w:t>
      </w:r>
      <w:r>
        <w:rPr>
          <w:rFonts w:hint="eastAsia"/>
        </w:rPr>
        <w:t xml:space="preserve">等同等级芯片的出口许可。今年5月14日，美国商务部首次清批向10家中国企业销售</w:t>
      </w:r>
      <w:r>
        <w:t xml:space="preserve"> </w:t>
      </w:r>
      <w:r>
        <w:rPr>
          <w:rFonts w:hint="eastAsia"/>
        </w:rPr>
        <w:t xml:space="preserve">H200，但截至5月底未有实际交付。在此背景下，中方曾一度阻止国内</w:t>
      </w:r>
      <w:r>
        <w:t xml:space="preserve"> AI </w:t>
      </w:r>
      <w:r>
        <w:rPr>
          <w:rFonts w:hint="eastAsia"/>
        </w:rPr>
        <w:t xml:space="preserve">公司采购</w:t>
      </w:r>
      <w:r>
        <w:t xml:space="preserve"> </w:t>
      </w:r>
      <w:r>
        <w:rPr>
          <w:rFonts w:hint="eastAsia"/>
        </w:rPr>
        <w:t xml:space="preserve">H200，要求转向国产替代，而高校采购系统却成为另一条路径。</w:t>
      </w:r>
    </w:p>
    <w:p>
      <w:pPr>
        <w:pStyle w:val="BodyText"/>
      </w:pPr>
      <w:r>
        <w:rPr>
          <w:rFonts w:hint="eastAsia"/>
        </w:rPr>
        <w:t xml:space="preserve">汤姆硬件（Tom’s</w:t>
      </w:r>
      <w:r>
        <w:t xml:space="preserve"> </w:t>
      </w:r>
      <w:r>
        <w:rPr>
          <w:rFonts w:hint="eastAsia"/>
        </w:rPr>
        <w:t xml:space="preserve">Hardware）援引的同一类公开文件还显示，此前一轮</w:t>
      </w:r>
      <w:r>
        <w:t xml:space="preserve"> A100 </w:t>
      </w:r>
      <w:r>
        <w:rPr>
          <w:rFonts w:hint="eastAsia"/>
        </w:rPr>
        <w:t xml:space="preserve">芯片的流入并未中断：哈尔滨工业大学2025年7月通过</w:t>
      </w:r>
      <w:r>
        <w:t xml:space="preserve"> Super Micro </w:t>
      </w:r>
      <w:r>
        <w:rPr>
          <w:rFonts w:hint="eastAsia"/>
        </w:rPr>
        <w:t xml:space="preserve">服务器获得配备8颗</w:t>
      </w:r>
      <w:r>
        <w:t xml:space="preserve"> A100 </w:t>
      </w:r>
      <w:r>
        <w:rPr>
          <w:rFonts w:hint="eastAsia"/>
        </w:rPr>
        <w:t xml:space="preserve">的整机，研究方向涵盖导弹、卫星与机器人；北京航空航天大学今年3月也通过类似方式获得配置4颗</w:t>
      </w:r>
      <w:r>
        <w:t xml:space="preserve"> A100 </w:t>
      </w:r>
      <w:r>
        <w:rPr>
          <w:rFonts w:hint="eastAsia"/>
        </w:rPr>
        <w:t xml:space="preserve">的机器学习工作站。从</w:t>
      </w:r>
      <w:r>
        <w:t xml:space="preserve"> A100 </w:t>
      </w:r>
      <w:r>
        <w:rPr>
          <w:rFonts w:hint="eastAsia"/>
        </w:rPr>
        <w:t xml:space="preserve">到</w:t>
      </w:r>
      <w:r>
        <w:t xml:space="preserve"> </w:t>
      </w:r>
      <w:r>
        <w:rPr>
          <w:rFonts w:hint="eastAsia"/>
        </w:rPr>
        <w:t xml:space="preserve">H200，涉军高校采购的连续性意味着，伴随白宫放宽审批与北京收紧本国管控两条曲线在2026年上半年同时出现，美方“案例审查”机制的执行半径正受到直接拷问。</w:t>
      </w:r>
    </w:p>
    <w:p>
      <w:pPr>
        <w:pStyle w:val="BodyText"/>
      </w:pPr>
      <w:r>
        <w:rPr>
          <w:b/>
          <w:bCs/>
        </w:rPr>
        <w:t xml:space="preserve">References</w:t>
      </w:r>
    </w:p>
    <w:p>
      <w:pPr>
        <w:pStyle w:val="BodyText"/>
      </w:pPr>
      <w:r>
        <w:t xml:space="preserve">[4] The Japan Times. (2026, June 2). Nvidia AI chips sought by Chinese labs with ties to military. The Japan Times. https://www.japantimes.co.jp/news/2026/06/02/asia-pacific/politics/nvidia-ai-chips-china-military/</w:t>
      </w:r>
      <w:r>
        <w:t xml:space="preserve"> </w:t>
      </w:r>
      <w:r>
        <w:t xml:space="preserve">[5] Bloomberg. (2026, June 2). Nvidia chips sought by Chinese labs with military ties (video). Bloomberg. https://www.bloomberg.com/news/videos/2026-06-02/nvidia-chips-sought-by-chinese-labs-with-military-ties-video</w:t>
      </w:r>
      <w:r>
        <w:t xml:space="preserve"> </w:t>
      </w:r>
      <w:r>
        <w:t xml:space="preserve">[6] Bloomberg. (2026, June 1). Nvidia’s AI chips sought by Chinese labs with ties to military. Bloomberg. https://www.bloomberg.com/news/articles/2026-06-01/nvidia-s-ai-chips-sought-by-chinese-labs-with-ties-to-military</w:t>
      </w:r>
      <w:r>
        <w:t xml:space="preserve"> </w:t>
      </w:r>
      <w:r>
        <w:t xml:space="preserve">[7] Tom’s Hardware. (2026, March 27). Chinese universities performing military research acquired Super Micro servers with sanctioned Nvidia AI chips — public documents reveal purchases were completed in 2025 and 2026 despite US export controls. Tom’s Hardware. https://www.tomshardware.com/tech-industry/chinese-universities-performing-military-research-acquired-super-micro-servers-with-sanctioned-nvidia-ai-chips-public-documents-reveal-purchases-were-completed-in-2025-and-2026-despite-us-export-controls</w:t>
      </w:r>
      <w:r>
        <w:t xml:space="preserve"> </w:t>
      </w:r>
      <w:r>
        <w:t xml:space="preserve">[8] Tom’s Hardware. (2026, April 15). The Nvidia H200 export saga, as it happened — Beijing ponders response and buyers line up, while Blackwell remains locked behind restrictions. Tom’s Hardware. https://www.tomshardware.com/tech-industry/semiconductors/us-eases-nvidia-export-restrictions-h200-cleared-for-china-under-tight-controls</w:t>
      </w:r>
    </w:p>
    <w:p>
      <w:r>
        <w:pict>
          <v:rect style="width:0;height:1.5pt" o:hralign="center" o:hrstd="t" o:hr="t"/>
        </w:pict>
      </w:r>
    </w:p>
    <w:bookmarkEnd w:id="12"/>
    <w:bookmarkStart w:id="13" w:name="Xe83f1a92d835f93a12b35a6948c11fb338702b6"/>
    <w:p>
      <w:pPr>
        <w:pStyle w:val="Heading3"/>
      </w:pPr>
      <w:r>
        <w:rPr>
          <w:rFonts w:hint="eastAsia"/>
        </w:rPr>
        <w:t xml:space="preserve">中国将数据、算法与源代码纳入商业秘密保护，市监总局对生物医药、半导体与</w:t>
      </w:r>
      <w:r>
        <w:t xml:space="preserve"> AI </w:t>
      </w:r>
      <w:r>
        <w:rPr>
          <w:rFonts w:hint="eastAsia"/>
        </w:rPr>
        <w:t xml:space="preserve">启动月度专项</w:t>
      </w:r>
    </w:p>
    <w:p>
      <w:pPr>
        <w:pStyle w:val="FirstParagraph"/>
      </w:pPr>
      <w:r>
        <w:rPr>
          <w:rFonts w:hint="eastAsia"/>
        </w:rPr>
        <w:t xml:space="preserve">中国国家市场监督管理总局（SAMR）发布新版商业秘密保护规定，首次将“数据、算法、程序、代码”明确列入商业秘密的法定保护范围。规定要求企业落实分级管理与防泄密措施，包括按员工岗级限定文件访问、对敏感信息进行隐匿处理、对用户活动进行监测。新框架同时把跨境侵权行为纳入执法管辖，意味着发生在中国境外的窃密行为也可被追责。</w:t>
      </w:r>
    </w:p>
    <w:p>
      <w:pPr>
        <w:pStyle w:val="BodyText"/>
      </w:pPr>
      <w:r>
        <w:rPr>
          <w:rFonts w:hint="eastAsia"/>
        </w:rPr>
        <w:t xml:space="preserve">与规定同步，市监总局启动为期一个月的专项执法行动，重点指向生物医药、半导体与</w:t>
      </w:r>
      <w:r>
        <w:t xml:space="preserve"> AI </w:t>
      </w:r>
      <w:r>
        <w:rPr>
          <w:rFonts w:hint="eastAsia"/>
        </w:rPr>
        <w:t xml:space="preserve">三个领域，核心打击对象包括“恶意挖人”以及员工跳槽时带走商业秘密的行为。新规于6月1日生效，被法律界视为近三十年来中国商业秘密制度幅度最大的一次修订。此前在《反不正当竞争法》框架基础上，地方市场监管部门首次获得清晰的商业秘密执法指引，涵盖违法所得没收、责令停止侵权及罚款等处罚条款。</w:t>
      </w:r>
    </w:p>
    <w:p>
      <w:pPr>
        <w:pStyle w:val="BodyText"/>
      </w:pPr>
      <w:r>
        <w:rPr>
          <w:rFonts w:hint="eastAsia"/>
        </w:rPr>
        <w:t xml:space="preserve">同一时间窗口内，中国还发布了配套的对外投资管理新规，意在限制核心技术、数据与人员经由境外投资渠道外溢。把“算法”与“训练数据集”纳入商业秘密这一动作，回应了过去几年司法实务中难以明确归类的</w:t>
      </w:r>
      <w:r>
        <w:t xml:space="preserve"> AI </w:t>
      </w:r>
      <w:r>
        <w:rPr>
          <w:rFonts w:hint="eastAsia"/>
        </w:rPr>
        <w:t xml:space="preserve">训练数据、用户行为分析与算法迭代记录的保护诉求，将2026年下半年中国科技企业的人才合同、文件分级与跨境数据流转流程一次性纳入合规重检视野。</w:t>
      </w:r>
    </w:p>
    <w:p>
      <w:pPr>
        <w:pStyle w:val="BodyText"/>
      </w:pPr>
      <w:r>
        <w:rPr>
          <w:b/>
          <w:bCs/>
        </w:rPr>
        <w:t xml:space="preserve">References</w:t>
      </w:r>
    </w:p>
    <w:p>
      <w:pPr>
        <w:pStyle w:val="BodyText"/>
      </w:pPr>
      <w:r>
        <w:t xml:space="preserve">[9] Bloomberg. (2026, June 2). China adds data, AI to trade secret rules to block leaks. Free Malaysia Today. https://www.freemalaysiatoday.com/category/business/2026/06/02/china-adds-data-ai-to-trade-secret-rules-to-block-leaks</w:t>
      </w:r>
      <w:r>
        <w:t xml:space="preserve"> </w:t>
      </w:r>
      <w:r>
        <w:t xml:space="preserve">[10] Business Upturn. (2026, June 2). China moves to shield AI secrets: New rules bring data and algorithms under trade secret protection. Business Upturn. https://www.businessupturn.com/world/china-moves-to-shield-ai-secrets-new-rules-bring-data-and-algorithms-under-trade-secret-protection</w:t>
      </w:r>
      <w:r>
        <w:t xml:space="preserve"> </w:t>
      </w:r>
      <w:r>
        <w:t xml:space="preserve">[11] Global Times. (2026, May 31). China’s new rules on protection of trade secrets become effective on June 1, including data and algorithms. Global Times. https://www.globaltimes.cn/page/202605/1362372.shtml</w:t>
      </w:r>
    </w:p>
    <w:p>
      <w:r>
        <w:pict>
          <v:rect style="width:0;height:1.5pt" o:hralign="center" o:hrstd="t" o:hr="t"/>
        </w:pict>
      </w:r>
    </w:p>
    <w:bookmarkEnd w:id="13"/>
    <w:bookmarkEnd w:id="14"/>
    <w:bookmarkStart w:id="15"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5"/>
    <w:bookmarkStart w:id="17" w:name="五海外涉华财经"/>
    <w:p>
      <w:pPr>
        <w:pStyle w:val="Heading2"/>
      </w:pPr>
      <w:r>
        <w:rPr>
          <w:rFonts w:hint="eastAsia"/>
        </w:rPr>
        <w:t xml:space="preserve">五、海外涉华财经</w:t>
      </w:r>
    </w:p>
    <w:bookmarkStart w:id="16" w:name="Xc5f56a3614c0e65139631d7ced1a14abec06bcb"/>
    <w:p>
      <w:pPr>
        <w:pStyle w:val="Heading3"/>
      </w:pPr>
      <w:r>
        <w:t xml:space="preserve">OECD </w:t>
      </w:r>
      <w:r>
        <w:rPr>
          <w:rFonts w:hint="eastAsia"/>
        </w:rPr>
        <w:t xml:space="preserve">报告：2024</w:t>
      </w:r>
      <w:r>
        <w:t xml:space="preserve"> </w:t>
      </w:r>
      <w:r>
        <w:rPr>
          <w:rFonts w:hint="eastAsia"/>
        </w:rPr>
        <w:t xml:space="preserve">年中国国家补贴达</w:t>
      </w:r>
      <w:r>
        <w:t xml:space="preserve"> 1080 </w:t>
      </w:r>
      <w:r>
        <w:rPr>
          <w:rFonts w:hint="eastAsia"/>
        </w:rPr>
        <w:t xml:space="preserve">亿美元，15</w:t>
      </w:r>
      <w:r>
        <w:t xml:space="preserve"> </w:t>
      </w:r>
      <w:r>
        <w:rPr>
          <w:rFonts w:hint="eastAsia"/>
        </w:rPr>
        <w:t xml:space="preserve">行业市场份额扩张约六成来自国家支持</w:t>
      </w:r>
    </w:p>
    <w:p>
      <w:pPr>
        <w:pStyle w:val="FirstParagraph"/>
      </w:pPr>
      <w:r>
        <w:rPr>
          <w:rFonts w:hint="eastAsia"/>
        </w:rPr>
        <w:t xml:space="preserve">经济合作与发展组织（OECD）发布迄今最全面的跨行业评估，认定中国企业在2024年单一年度内从政府获得的产业补贴总额达1080亿美元，覆盖15个关键行业。报告以2005年至2024年为观察窗口，发现这些行业的中国企业获得的政府支持平均为同行业</w:t>
      </w:r>
      <w:r>
        <w:t xml:space="preserve"> OECD </w:t>
      </w:r>
      <w:r>
        <w:rPr>
          <w:rFonts w:hint="eastAsia"/>
        </w:rPr>
        <w:t xml:space="preserve">成员国企业的3至8倍。OECD</w:t>
      </w:r>
      <w:r>
        <w:t xml:space="preserve"> </w:t>
      </w:r>
      <w:r>
        <w:rPr>
          <w:rFonts w:hint="eastAsia"/>
        </w:rPr>
        <w:t xml:space="preserve">秘书长科尔曼（Mathias</w:t>
      </w:r>
      <w:r>
        <w:t xml:space="preserve"> </w:t>
      </w:r>
      <w:r>
        <w:rPr>
          <w:rFonts w:hint="eastAsia"/>
        </w:rPr>
        <w:t xml:space="preserve">Cormann）将这一格局比喻为体育界的兴奋剂，称“效率较低的参与者得以不公平地胜出”，并指补贴在多数情况下既无助于生产率提升，也无益于创新表现。</w:t>
      </w:r>
    </w:p>
    <w:p>
      <w:pPr>
        <w:pStyle w:val="BodyText"/>
      </w:pPr>
      <w:r>
        <w:t xml:space="preserve">OECD </w:t>
      </w:r>
      <w:r>
        <w:rPr>
          <w:rFonts w:hint="eastAsia"/>
        </w:rPr>
        <w:t xml:space="preserve">列入评估的15个行业为航空航天、铝业、汽车、水泥、化工、化肥、玻璃、机械、半导体、造船、太阳能板、钢铁、电信设备、轨道交通装备与风电设备。报告测算，中国企业全球市场份额增长中约60%可归因于国家补贴而非生产率或创新提升。OECD</w:t>
      </w:r>
      <w:r>
        <w:t xml:space="preserve"> </w:t>
      </w:r>
      <w:r>
        <w:rPr>
          <w:rFonts w:hint="eastAsia"/>
        </w:rPr>
        <w:t xml:space="preserve">公报指出，1080亿美元为这15个行业的合计金额，相对营收水平为全球金融危机后最高，仅次于2008年全球金融危机引发销售大幅下滑时的相对峰值。</w:t>
      </w:r>
    </w:p>
    <w:p>
      <w:pPr>
        <w:pStyle w:val="BodyText"/>
      </w:pPr>
      <w:r>
        <w:rPr>
          <w:rFonts w:hint="eastAsia"/>
        </w:rPr>
        <w:t xml:space="preserve">报告时机敏感。欧盟正在评估对中国电动车、风电与光伏的反补贴关税续期方案，美国则在与北京就芬太尼前体、半导体出口与稀土供应进行多线谈判。OECD</w:t>
      </w:r>
      <w:r>
        <w:t xml:space="preserve"> </w:t>
      </w:r>
      <w:r>
        <w:rPr>
          <w:rFonts w:hint="eastAsia"/>
        </w:rPr>
        <w:t xml:space="preserve">的此次定量披露，给布鲁塞尔与华盛顿提供了把“产能过剩”与“补贴竞争”重新摆上G20议程的弹药。OECD</w:t>
      </w:r>
      <w:r>
        <w:t xml:space="preserve"> </w:t>
      </w:r>
      <w:r>
        <w:rPr>
          <w:rFonts w:hint="eastAsia"/>
        </w:rPr>
        <w:t xml:space="preserve">此前曾就部分行业发布早期评估，但此轮覆盖范围、金额测算与跨年度数据是首次完整落地。</w:t>
      </w:r>
    </w:p>
    <w:p>
      <w:pPr>
        <w:pStyle w:val="BodyText"/>
      </w:pPr>
      <w:r>
        <w:rPr>
          <w:b/>
          <w:bCs/>
        </w:rPr>
        <w:t xml:space="preserve">References</w:t>
      </w:r>
    </w:p>
    <w:p>
      <w:pPr>
        <w:pStyle w:val="BodyText"/>
      </w:pPr>
      <w:r>
        <w:t xml:space="preserve">[12] AFP. (2026, June 2). Huge state subsidies give China unfair edge over foreign rivals, OECD says. Hong Kong Free Press. https://hongkongfp.com/2026/06/02/huge-state-subsidies-give-china-unfair-edge-over-foreign-rivals-oecd-says/</w:t>
      </w:r>
      <w:r>
        <w:t xml:space="preserve"> </w:t>
      </w:r>
      <w:r>
        <w:t xml:space="preserve">[13] Bloomberg. (2026, June 1). OECD says Chinese government subsidies help firms gain market share. Bloomberg. https://www.bloomberg.com/news/articles/2026-06-01/oecd-says-chinese-government-subsidies-help-firms-gain-market-share</w:t>
      </w:r>
      <w:r>
        <w:t xml:space="preserve"> </w:t>
      </w:r>
      <w:r>
        <w:t xml:space="preserve">[14] Reuters. (2026, June 1). OECD says China subsidies helped firms win market share but not productivity. Yahoo Finance UK. https://uk.finance.yahoo.com/news/oecd-says-china-subsidies-helped-firms-win-market-share-but-not-productivity-120105456.html</w:t>
      </w:r>
      <w:r>
        <w:t xml:space="preserve"> </w:t>
      </w:r>
      <w:r>
        <w:t xml:space="preserve">[15] OECD. (2026, June 1). Industrial subsidies reach highest levels since the global financial crisis, says OECD. OECD. https://www.oecd.org/en/about/news/press-releases/2026/06/industrial-subsidies-reach-highest-levels-since-the-global-financial-crisis-says-oecd.html</w:t>
      </w:r>
    </w:p>
    <w:p>
      <w:r>
        <w:pict>
          <v:rect style="width:0;height:1.5pt" o:hralign="center" o:hrstd="t" o:hr="t"/>
        </w:pict>
      </w:r>
    </w:p>
    <w:bookmarkEnd w:id="16"/>
    <w:bookmarkEnd w:id="17"/>
    <w:bookmarkStart w:id="18" w:name="六企业ipo与并购"/>
    <w:p>
      <w:pPr>
        <w:pStyle w:val="Heading2"/>
      </w:pPr>
      <w:r>
        <w:rPr>
          <w:rFonts w:hint="eastAsia"/>
        </w:rPr>
        <w:t xml:space="preserve">六、企业IPO与并购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Start w:id="19" w:name="七其他重要事件"/>
    <w:p>
      <w:pPr>
        <w:pStyle w:val="Heading2"/>
      </w:pPr>
      <w:r>
        <w:rPr>
          <w:rFonts w:hint="eastAsia"/>
        </w:rPr>
        <w:t xml:space="preserve">七、其他重要事件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2026-06-02T08:40:49Z</dcterms:created>
  <dcterms:modified xsi:type="dcterms:W3CDTF">2026-06-02T08:40:49Z</dcterms:modified>
</cp:coreProperties>
</file>

<file path=docProps/custom.xml><?xml version="1.0" encoding="utf-8"?>
<Properties xmlns="http://schemas.openxmlformats.org/officeDocument/2006/custom-properties" xmlns:vt="http://schemas.openxmlformats.org/officeDocument/2006/docPropsVTypes"/>
</file>