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2026年6月30日</w:t>
      </w:r>
    </w:p>
    <w:p/>
    <w:p>
      <w:pPr>
        <w:pStyle w:val="ListParagraph"/>
        <w:numPr>
          <w:ilvl w:val="0"/>
          <w:numId w:val="8"/>
        </w:numPr>
      </w:pPr>
      <w:r>
        <w:rPr>
          <w:rFonts w:ascii="FangSong_GB2312" w:hAnsi="FangSong_GB2312" w:eastAsia="FangSong_GB2312"/>
          <w:b/>
          <w:sz w:val="21"/>
        </w:rPr>
        <w:t>最高法院任期收官重塑行政权，独留美联储关税两道防线</w:t>
      </w:r>
    </w:p>
    <w:p>
      <w:pPr>
        <w:pStyle w:val="ListParagraph"/>
        <w:numPr>
          <w:ilvl w:val="0"/>
          <w:numId w:val="8"/>
        </w:numPr>
      </w:pPr>
      <w:r>
        <w:rPr>
          <w:rFonts w:ascii="FangSong_GB2312" w:hAnsi="FangSong_GB2312" w:eastAsia="FangSong_GB2312"/>
          <w:b/>
          <w:sz w:val="21"/>
        </w:rPr>
        <w:t>康卡斯特免税分拆NBC环球与Sky，股价盘前跳涨21%</w:t>
      </w:r>
    </w:p>
    <w:p>
      <w:pPr>
        <w:pStyle w:val="ListParagraph"/>
        <w:numPr>
          <w:ilvl w:val="0"/>
          <w:numId w:val="8"/>
        </w:numPr>
      </w:pPr>
      <w:r>
        <w:rPr>
          <w:rFonts w:ascii="FangSong_GB2312" w:hAnsi="FangSong_GB2312" w:eastAsia="FangSong_GB2312"/>
          <w:b/>
          <w:sz w:val="21"/>
        </w:rPr>
        <w:t>多哈美伊核谈陷僵局，伊朗拒与威特科夫直接会面</w:t>
      </w:r>
    </w:p>
    <w:p>
      <w:pPr>
        <w:pStyle w:val="ListParagraph"/>
        <w:numPr>
          <w:ilvl w:val="0"/>
          <w:numId w:val="8"/>
        </w:numPr>
      </w:pPr>
      <w:r>
        <w:rPr>
          <w:rFonts w:ascii="FangSong_GB2312" w:hAnsi="FangSong_GB2312" w:eastAsia="FangSong_GB2312"/>
          <w:b/>
          <w:sz w:val="21"/>
        </w:rPr>
        <w:t>斯塔默卸任前公布2980亿英镑国防计划，四年增150亿</w:t>
      </w:r>
    </w:p>
    <w:p>
      <w:pPr>
        <w:pStyle w:val="ListParagraph"/>
        <w:numPr>
          <w:ilvl w:val="0"/>
          <w:numId w:val="8"/>
        </w:numPr>
      </w:pPr>
      <w:r>
        <w:rPr>
          <w:rFonts w:ascii="FangSong_GB2312" w:hAnsi="FangSong_GB2312" w:eastAsia="FangSong_GB2312"/>
          <w:b/>
          <w:sz w:val="21"/>
        </w:rPr>
        <w:t>巴克莱7.5亿英镑买断金丝雀码头总部999年租约</w:t>
      </w:r>
    </w:p>
    <w:p>
      <w:pPr>
        <w:pStyle w:val="ListParagraph"/>
        <w:numPr>
          <w:ilvl w:val="0"/>
          <w:numId w:val="8"/>
        </w:numPr>
      </w:pPr>
      <w:r>
        <w:rPr>
          <w:rFonts w:ascii="FangSong_GB2312" w:hAnsi="FangSong_GB2312" w:eastAsia="FangSong_GB2312"/>
          <w:b/>
          <w:sz w:val="21"/>
        </w:rPr>
        <w:t>欧盟钢铁保障7月1日生效，关税升至50%剑指中国产能</w:t>
      </w:r>
    </w:p>
    <w:p>
      <w:pPr>
        <w:pStyle w:val="ListParagraph"/>
        <w:numPr>
          <w:ilvl w:val="0"/>
          <w:numId w:val="8"/>
        </w:numPr>
      </w:pPr>
      <w:r>
        <w:rPr>
          <w:rFonts w:ascii="FangSong_GB2312" w:hAnsi="FangSong_GB2312" w:eastAsia="FangSong_GB2312"/>
          <w:b/>
          <w:sz w:val="21"/>
        </w:rPr>
        <w:t>欧盟终结Shein与Temu包裹免税，每件加征3欧元关税</w:t>
      </w:r>
    </w:p>
    <w:p>
      <w:pPr>
        <w:pStyle w:val="ListParagraph"/>
        <w:numPr>
          <w:ilvl w:val="0"/>
          <w:numId w:val="8"/>
        </w:numPr>
      </w:pPr>
      <w:r>
        <w:rPr>
          <w:rFonts w:ascii="FangSong_GB2312" w:hAnsi="FangSong_GB2312" w:eastAsia="FangSong_GB2312"/>
          <w:b/>
          <w:sz w:val="21"/>
        </w:rPr>
        <w:t>德国6月通胀回落至2.1%，能源价格同比跌3.2%</w:t>
      </w:r>
    </w:p>
    <w:p>
      <w:pPr>
        <w:pStyle w:val="ListParagraph"/>
        <w:numPr>
          <w:ilvl w:val="0"/>
          <w:numId w:val="8"/>
        </w:numPr>
      </w:pPr>
      <w:r>
        <w:rPr>
          <w:rFonts w:ascii="FangSong_GB2312" w:hAnsi="FangSong_GB2312" w:eastAsia="FangSong_GB2312"/>
          <w:b/>
          <w:sz w:val="21"/>
        </w:rPr>
        <w:t>中国6月制造业PMI升至50.3，高技术出口连推景气</w:t>
      </w:r>
    </w:p>
    <w:p>
      <w:pPr>
        <w:pStyle w:val="ListParagraph"/>
        <w:numPr>
          <w:ilvl w:val="0"/>
          <w:numId w:val="8"/>
        </w:numPr>
      </w:pPr>
      <w:r>
        <w:rPr>
          <w:rFonts w:ascii="FangSong_GB2312" w:hAnsi="FangSong_GB2312" w:eastAsia="FangSong_GB2312"/>
          <w:b/>
          <w:sz w:val="21"/>
        </w:rPr>
        <w:t>郭文贵美国获刑30年，退赔8.89亿美元诈骗案落槌</w:t>
      </w:r>
    </w:p>
    <w:p>
      <w:pPr>
        <w:pStyle w:val="ListParagraph"/>
        <w:numPr>
          <w:ilvl w:val="0"/>
          <w:numId w:val="8"/>
        </w:numPr>
      </w:pPr>
      <w:r>
        <w:rPr>
          <w:rFonts w:ascii="FangSong_GB2312" w:hAnsi="FangSong_GB2312" w:eastAsia="FangSong_GB2312"/>
          <w:b/>
          <w:sz w:val="21"/>
        </w:rPr>
        <w:t>日元跌破162创1986年来新低，财相发口头警告</w:t>
      </w:r>
    </w:p>
    <w:p>
      <w:pPr>
        <w:pStyle w:val="ListParagraph"/>
        <w:numPr>
          <w:ilvl w:val="0"/>
          <w:numId w:val="8"/>
        </w:numPr>
      </w:pPr>
      <w:r>
        <w:rPr>
          <w:rFonts w:ascii="FangSong_GB2312" w:hAnsi="FangSong_GB2312" w:eastAsia="FangSong_GB2312"/>
          <w:b/>
          <w:sz w:val="21"/>
        </w:rPr>
        <w:t>日本启动CFIUS式外资审查委员会防技术外流</w:t>
      </w:r>
    </w:p>
    <w:p>
      <w:pPr>
        <w:pStyle w:val="ListParagraph"/>
        <w:numPr>
          <w:ilvl w:val="0"/>
          <w:numId w:val="8"/>
        </w:numPr>
      </w:pPr>
      <w:r>
        <w:rPr>
          <w:rFonts w:ascii="FangSong_GB2312" w:hAnsi="FangSong_GB2312" w:eastAsia="FangSong_GB2312"/>
          <w:b/>
          <w:sz w:val="21"/>
        </w:rPr>
        <w:t>李在明赴光州启动896万亿韩元芯片枢纽</w:t>
      </w:r>
    </w:p>
    <w:p>
      <w:pPr>
        <w:pStyle w:val="ListParagraph"/>
        <w:numPr>
          <w:ilvl w:val="0"/>
          <w:numId w:val="8"/>
        </w:numPr>
      </w:pPr>
      <w:r>
        <w:rPr>
          <w:rFonts w:ascii="FangSong_GB2312" w:hAnsi="FangSong_GB2312" w:eastAsia="FangSong_GB2312"/>
          <w:b/>
          <w:sz w:val="21"/>
        </w:rPr>
        <w:t>加拿大排除拆分潜艇合同，韩华与蒂森克虏伯正面交锋</w:t>
      </w:r>
    </w:p>
    <w:p/>
    <w:p/>
    <w:p>
      <w:r>
        <w:rPr>
          <w:rFonts w:ascii="FangSong_GB2312" w:hAnsi="FangSong_GB2312" w:eastAsia="FangSong_GB2312"/>
          <w:b/>
          <w:sz w:val="24"/>
        </w:rPr>
        <w:t>1.最高法院任期收官重塑行政权，独留美联储关税两道防线</w:t>
      </w:r>
    </w:p>
    <w:p>
      <w:r>
        <w:rPr>
          <w:rFonts w:ascii="FangSong_GB2312" w:hAnsi="FangSong_GB2312" w:eastAsia="FangSong_GB2312"/>
          <w:b w:val="0"/>
          <w:sz w:val="21"/>
        </w:rPr>
        <w:t>最高法院在2025—26任期48小时内连发重磅裁决，以6比3推翻已有91年历史的“汉弗莱遗嘱执行人案”先例（“特朗普诉斯劳特案”），扩大总统罢免独立机构负责人的权力，却在两个对市场最敏感的领域划下界限：以5比4裁定“特朗普诉库克案”，阻止特朗普即刻解雇美联储理事丽莎·库克（Lisa Cook），保全美联储独立性；并阻止紧急关税扩张。法院还以6比3裁定“查特里诉美国案”，将地理围栏搜查令限定为第四修正案下的搜查；以5比4在“沃森诉共和党全国委员会案”中支持各州计入选举日后到达的邮寄选票。6月30日任期最后一天，法院就特朗普终止出生公民权的行政令等四起案件宣判，该行政令自2025年1月签署以来从未生效、每家审理它的联邦法院均予驳回，移民政策研究所估算其一旦实施每年将影响约25万名在美出生于非公民父母的婴儿。Axios指出，特朗普取得显著行政权扩张，但在最可能直接搅动市场的美联储利率与紧急关税权两处被专门划出。 [1]</w:t>
      </w:r>
    </w:p>
    <w:p/>
    <w:p>
      <w:r>
        <w:rPr>
          <w:rFonts w:ascii="FangSong_GB2312" w:hAnsi="FangSong_GB2312" w:eastAsia="FangSong_GB2312"/>
          <w:b/>
          <w:sz w:val="24"/>
        </w:rPr>
        <w:t>2.康卡斯特免税分拆NBC环球与Sky，股价盘前跳涨21%</w:t>
      </w:r>
    </w:p>
    <w:p>
      <w:r>
        <w:rPr>
          <w:rFonts w:ascii="FangSong_GB2312" w:hAnsi="FangSong_GB2312" w:eastAsia="FangSong_GB2312"/>
          <w:b w:val="0"/>
          <w:sz w:val="21"/>
        </w:rPr>
        <w:t>康卡斯特（Comcast）6月29日宣布通过免税分拆，将NBC环球与Sky拆分为独立上市公司，消息公布后股价盘前跳涨21%。新独立媒体公司将囊括NBC、Telemundo、MSNBC、CNBC、Bravo、拥有6500万订户的Peacock流媒体、环球影业及英国广播商Sky，现任总裁迈克·卡瓦纳（Mike Cavanagh）出任新实体首席执行官；康卡斯特则保留约3200万订户的Xfinity宽带、Xfinity无线及Comcast Business，并持有新公司19.9%股份，分拆预计约12个月内完成。这是2026年美国最大的媒体结构性交易，终结了一场长达15年、押注宽带公用事业与媒体帝国合则更优的实验，将受监管的垄断型基础设施业务与竞争激烈的内容娱乐业务分离。此为康卡斯特数月内第二次分拆——年初已将USA Network、CNBC等有线网络资产剥离为独立公司Versant。6月29日提交SEC的8-K文件已将宣布正式化。 [2]</w:t>
      </w:r>
    </w:p>
    <w:p/>
    <w:p>
      <w:r>
        <w:rPr>
          <w:rFonts w:ascii="FangSong_GB2312" w:hAnsi="FangSong_GB2312" w:eastAsia="FangSong_GB2312"/>
          <w:b/>
          <w:sz w:val="24"/>
        </w:rPr>
        <w:t>3.多哈美伊核谈陷僵局，伊朗拒与威特科夫直接会面</w:t>
      </w:r>
    </w:p>
    <w:p>
      <w:r>
        <w:rPr>
          <w:rFonts w:ascii="FangSong_GB2312" w:hAnsi="FangSong_GB2312" w:eastAsia="FangSong_GB2312"/>
          <w:b w:val="0"/>
          <w:sz w:val="21"/>
        </w:rPr>
        <w:t>美伊在卡塔尔多哈（Doha）的技术性谈判6月30日陷入停滞，伊朗代表团拒绝与美国特使史蒂夫·威特科夫（Steve Witkoff）和贾里德·库什纳（Jared Kushner）直接会面，转而只与卡塔尔斡旋方接触。各方讨论一份谅解备忘录：允许船只安全通过霍尔木兹海峡，作为交换美国解除对伊朗港口的封锁，议程上还有一条拟议中的美国—伊斯兰革命卫队（IRGC）海上协调热线。这场谈判背景是持续数月的危机——自2026年2月28日美以对伊朗发动空袭以来，霍尔木兹海峡航运基本被伊朗封锁，美国对伊朗港口实施对等海上封锁，近期IRGC曾打击科威特阿里·萨利姆空军基地与巴林谢赫·伊萨空军基地的美军基地。黎巴嫩真主党（Hezbollah）已同意一项“相互停止攻击”的停火提议，但半岛电视台6月30日直播称以色列警告战事可能“在两天内”重燃，霍尔木兹海峡过境安全因其在全球石油供应中的地位成为最紧迫引爆点。 [3]</w:t>
      </w:r>
    </w:p>
    <w:p/>
    <w:p>
      <w:r>
        <w:rPr>
          <w:rFonts w:ascii="FangSong_GB2312" w:hAnsi="FangSong_GB2312" w:eastAsia="FangSong_GB2312"/>
          <w:b/>
          <w:sz w:val="24"/>
        </w:rPr>
        <w:t>4.斯塔默卸任前公布2980亿英镑国防计划，四年增150亿</w:t>
      </w:r>
    </w:p>
    <w:p>
      <w:r>
        <w:rPr>
          <w:rFonts w:ascii="FangSong_GB2312" w:hAnsi="FangSong_GB2312" w:eastAsia="FangSong_GB2312"/>
          <w:b w:val="0"/>
          <w:sz w:val="21"/>
        </w:rPr>
        <w:t>英国首相斯塔默（Keir Starmer）6月30日公布《国防投资计划》，承诺未来四年投入2980亿英镑国防开支、较此前规划增加150亿英镑，年度国防开支将从540亿英镑增至2029年的近800亿英镑，实际增幅27%，届时占GDP比重达2.7%、为30年来最高，并设定下一届议会向3%迈进、2035年达3.5%以满足北约目标的轨迹。投向上，逾50亿英镑用于无人机和自主系统，与意大利、日本合作的“全球作战航空计划”获80多亿英镑，核威慑与潜艇更新逾630亿英镑，并通过英国出口金融署设立500亿英镑国防出口基金，整个计划预计支持英国国防工业近6万个直接和间接就业岗位。斯塔默称“避免战争的最佳方式就是为战争做好准备”。计划在波折中出炉——国防大臣贾维斯（Dan Jarvis）在前任约翰·希利与武装部队大臣阿尔·卡恩斯于6月因拨款不足辞职后才敲定；保守党影子国防大臣卡特利奇（James Cartlidge）批评其“太少、太迟”，称仅因斯塔默急于留下政治遗产才被仓促推出。 [4]</w:t>
      </w:r>
    </w:p>
    <w:p/>
    <w:p>
      <w:r>
        <w:rPr>
          <w:rFonts w:ascii="FangSong_GB2312" w:hAnsi="FangSong_GB2312" w:eastAsia="FangSong_GB2312"/>
          <w:b/>
          <w:sz w:val="24"/>
        </w:rPr>
        <w:t>5.巴克莱7.5亿英镑买断金丝雀码头总部999年租约</w:t>
      </w:r>
    </w:p>
    <w:p>
      <w:r>
        <w:rPr>
          <w:rFonts w:ascii="FangSong_GB2312" w:hAnsi="FangSong_GB2312" w:eastAsia="FangSong_GB2312"/>
          <w:b w:val="0"/>
          <w:sz w:val="21"/>
        </w:rPr>
        <w:t>巴克莱银行（Barclays）6月30日宣布以7.5亿英镑（约合9.5亿美元）从金丝雀码头集团手中收购其丘吉尔广场一号（One Churchill Place）全球总部的999年租赁权益。这栋约100万平方英尺的办公楼自2005年起一直是巴克莱全球总部，此前所持租约将于2039年到期，取得999年长期租赁后巴克莱获得占用成本的长期确定性。交易被归类为房地产资产收购，预计对集团核心一级资本（CET1）比率影响大体中性。首席执行官文卡塔克里希南（CS Venkatakrishnan）称此举“强化了我们对伦敦作为世界领先全球金融中心之一的持续信心”。作为出售方的金丝雀码头集团拥有整个金丝雀码头地产，近年在汇丰银行（HSBC）等大型金融机构相继迁出后于吸引租户方面承压，巴克莱此番“反向”加码被外界解读为对伦敦金融中心地位的有力背书。 [5]</w:t>
      </w:r>
    </w:p>
    <w:p/>
    <w:p>
      <w:r>
        <w:rPr>
          <w:rFonts w:ascii="FangSong_GB2312" w:hAnsi="FangSong_GB2312" w:eastAsia="FangSong_GB2312"/>
          <w:b/>
          <w:sz w:val="24"/>
        </w:rPr>
        <w:t>6.欧盟钢铁保障7月1日生效，关税升至50%剑指中国产能</w:t>
      </w:r>
    </w:p>
    <w:p>
      <w:r>
        <w:rPr>
          <w:rFonts w:ascii="FangSong_GB2312" w:hAnsi="FangSong_GB2312" w:eastAsia="FangSong_GB2312"/>
          <w:b w:val="0"/>
          <w:sz w:val="21"/>
        </w:rPr>
        <w:t>欧盟新的钢铁保障机制将于2026年7月1日生效，把进口钢铁关税大幅上调至50%，并将免税进口配额削减至每年1830万吨——相当于2013年的进口水平，欧盟认为正是从那一年起中国大规模补贴的钢铁产能开始扭曲全球市场，中国目前产出占全球钢铁逾半。欧盟贸易委员谢夫乔维奇（Maros Sefcovic）警告北京，欧盟准备将惩罚性关税扩大到现有电动车关税之外，其办公室已起草一项“产能过剩”工具，可对一系列中国工业品加征关税并设置进口限制。此前在布鲁塞尔举行的贸易磋商无果而终、未发表联合公报，中国威胁对欧洲农产品与奢侈品采取反制。贸易摩擦背景是欧盟对华贸易逆差快速扩大，2025年达约3600亿欧元，按今年前五个月推算全年或逼近4000亿欧元。 [6]</w:t>
      </w:r>
    </w:p>
    <w:p/>
    <w:p>
      <w:r>
        <w:rPr>
          <w:rFonts w:ascii="FangSong_GB2312" w:hAnsi="FangSong_GB2312" w:eastAsia="FangSong_GB2312"/>
          <w:b/>
          <w:sz w:val="24"/>
        </w:rPr>
        <w:t>7.欧盟终结Shein与Temu包裹免税，每件加征3欧元关税</w:t>
      </w:r>
    </w:p>
    <w:p>
      <w:r>
        <w:rPr>
          <w:rFonts w:ascii="FangSong_GB2312" w:hAnsi="FangSong_GB2312" w:eastAsia="FangSong_GB2312"/>
          <w:b w:val="0"/>
          <w:sz w:val="21"/>
        </w:rPr>
        <w:t>欧盟自2026年7月1日起终结对价值150欧元以下商品的最低限度（de minimis）关税豁免，所有来自非欧盟卖家的包裹无论价值高低均须缴纳关税，每件低值包裹将被征收每件3欧元的关税并按商品品类逐件计算，年发包裹超过500万件的平台须向欧盟海关登记。欧盟委员会估算该豁免每年给成员国造成约32亿欧元损失。这一豁免设于数十年前、初衷是减轻海关处理小额邮包负担，但在跨境电商时代演变为外国制造商直邮欧洲的“免税通道”：2024年共有46亿件价值低于150欧元的包裹进入欧盟，其中逾九成来自中国，Shein与Temu正是围绕这一门槛构建直邮模式。两家平台表示将把成本转嫁给消费者，并已开始将库存转移至欧盟境内仓库以改用针对大宗商业货运的标准关税、规避逐件费用。 [7]</w:t>
      </w:r>
    </w:p>
    <w:p/>
    <w:p>
      <w:r>
        <w:rPr>
          <w:rFonts w:ascii="FangSong_GB2312" w:hAnsi="FangSong_GB2312" w:eastAsia="FangSong_GB2312"/>
          <w:b/>
          <w:sz w:val="24"/>
        </w:rPr>
        <w:t>8.德国6月通胀回落至2.1%，能源价格同比跌3.2%</w:t>
      </w:r>
    </w:p>
    <w:p>
      <w:r>
        <w:rPr>
          <w:rFonts w:ascii="FangSong_GB2312" w:hAnsi="FangSong_GB2312" w:eastAsia="FangSong_GB2312"/>
          <w:b w:val="0"/>
          <w:sz w:val="21"/>
        </w:rPr>
        <w:t>德国6月消费者物价指数（CPI）快报同比上涨2.1%，较5月的2.4%明显回落，环比上涨0.2%，调和消费者物价指数（HICP）同比上涨2.3%。能源价格同比下跌3.2%是拉低整体通胀的主要力量，食品价格同比上涨1.8%，但服务业通胀仍高达3.6%，显示核心通胀压力尚未根本缓解。今年以来欧元区通胀受中东冲突推升的能源价格扰动，欧洲央行（ECB）在4月会议上将三大关键利率维持不变、未跟进降息。作为欧元区最大经济体，德国通胀回落至接近2%目标对欧洲央行7月议息构成温和宽松信号，但3.6%的服务业通胀意味央行仍难言可以放松警惕；同日法国6月CPI同比仅升1.1%，德法两大经济体通胀路径分化为统一货币政策增添难度。 [8]</w:t>
      </w:r>
    </w:p>
    <w:p/>
    <w:p>
      <w:r>
        <w:rPr>
          <w:rFonts w:ascii="FangSong_GB2312" w:hAnsi="FangSong_GB2312" w:eastAsia="FangSong_GB2312"/>
          <w:b/>
          <w:sz w:val="24"/>
        </w:rPr>
        <w:t>9.中国6月制造业PMI升至50.3，高技术出口连推景气</w:t>
      </w:r>
    </w:p>
    <w:p>
      <w:r>
        <w:rPr>
          <w:rFonts w:ascii="FangSong_GB2312" w:hAnsi="FangSong_GB2312" w:eastAsia="FangSong_GB2312"/>
          <w:b w:val="0"/>
          <w:sz w:val="21"/>
        </w:rPr>
        <w:t>中国官方制造业采购经理指数6月升至50.3、高于5月的50.0并超路透50.1的预期中值，连续第三个月站在荣枯线上方，多个分项同步转暖：生产指数51.4，新订单指数从49.9回升至51.2，新出口订单指数从48.6升至50.1、结束此前收缩。撑起回暖的是高技术制造业——该分项PMI升至53.5、连续四个月走高，自动数据处理设备5月出口同比激增约60%、与人工智能算力需求直接相关，相比之下家具出口仅增长1.9%，美国银行已将2026年中国出口增速预测上调至15%。成本压力缓解，主要原材料购进价格指数从60.5回落至54.2、为六个月低点；但就业仍是短板，从业人员指数停留在48.4的收缩区间。国家统计局首席统计师霍丽慧称6月数据反映出“中国经济景气水平有所回升”，非制造业商务活动指数微升至50.2，综合PMI产出指数升至50.6。 [9]</w:t>
      </w:r>
    </w:p>
    <w:p/>
    <w:p>
      <w:r>
        <w:rPr>
          <w:rFonts w:ascii="FangSong_GB2312" w:hAnsi="FangSong_GB2312" w:eastAsia="FangSong_GB2312"/>
          <w:b/>
          <w:sz w:val="24"/>
        </w:rPr>
        <w:t>10.郭文贵美国获刑30年，退赔8.89亿美元诈骗案落槌</w:t>
      </w:r>
    </w:p>
    <w:p>
      <w:r>
        <w:rPr>
          <w:rFonts w:ascii="FangSong_GB2312" w:hAnsi="FangSong_GB2312" w:eastAsia="FangSong_GB2312"/>
          <w:b w:val="0"/>
          <w:sz w:val="21"/>
        </w:rPr>
        <w:t>自我流亡的中国富豪郭文贵（又名郭浩云、Miles Guo）6月30日在曼哈顿联邦法院被判处30年监禁，罪名是一场令逾千名全球投资者损失数亿美元的诈骗案，主审法官阿纳莉萨·托雷斯（Analisa Torres）下令其退赔8.89亿美元。诈骗持续于2018年至2023年，检方指控郭文贵诱导投资者将逾10亿美元投入其控制的实体，包括媒体公司GTV Media Group、所谓的“喜马拉雅农场联盟”和“喜马拉雅交易所”。法官称他“猎食那些渴望为中国带来民主的人”，骗取钱财供自己挥霍。郭文贵十年前逃离中国，此后在美国重塑形象、以中国共产党批评者自居，检方将这起诈骗形容为“令人震惊”。 [10]</w:t>
      </w:r>
    </w:p>
    <w:p/>
    <w:p>
      <w:r>
        <w:rPr>
          <w:rFonts w:ascii="FangSong_GB2312" w:hAnsi="FangSong_GB2312" w:eastAsia="FangSong_GB2312"/>
          <w:b/>
          <w:sz w:val="24"/>
        </w:rPr>
        <w:t>11.日元跌破162创1986年来新低，财相发口头警告</w:t>
      </w:r>
    </w:p>
    <w:p>
      <w:r>
        <w:rPr>
          <w:rFonts w:ascii="FangSong_GB2312" w:hAnsi="FangSong_GB2312" w:eastAsia="FangSong_GB2312"/>
          <w:b w:val="0"/>
          <w:sz w:val="21"/>
        </w:rPr>
        <w:t>日元6月30日东京交易时段跌破1美元兑162日元、一度触及162.36，为1986年12月以来最弱水平。持续遭抛售的主因是利差：日本政策利率在央行6月16日加息后升至1.0%、为1995年以来最高，但仍远低于美国联邦基金利率3.50%至3.75%的区间。财务大臣片山皋月（Satsuki Katayama）当日对记者表示“归根结底，就是要随时做好妥善应对汇率波动的准备”，被问及突破162后紧迫感是否改变时称自己的“信息一如既往”，并确认政府“已做好果断行动的准备，这一点已在日美之间确认”。荷兰国际集团（ING）将162描述为日元“新的干预线”。 [11]</w:t>
      </w:r>
    </w:p>
    <w:p/>
    <w:p>
      <w:r>
        <w:rPr>
          <w:rFonts w:ascii="FangSong_GB2312" w:hAnsi="FangSong_GB2312" w:eastAsia="FangSong_GB2312"/>
          <w:b/>
          <w:sz w:val="24"/>
        </w:rPr>
        <w:t>12.日本启动CFIUS式外资审查委员会防技术外流</w:t>
      </w:r>
    </w:p>
    <w:p>
      <w:r>
        <w:rPr>
          <w:rFonts w:ascii="FangSong_GB2312" w:hAnsi="FangSong_GB2312" w:eastAsia="FangSong_GB2312"/>
          <w:b w:val="0"/>
          <w:sz w:val="21"/>
        </w:rPr>
        <w:t>日本政府6月30日召开日本对内投资委员会（JFIC）首次会议，正式运转这一对标美国CFIUS的机构，对外国对日本企业的投资进行跨部门审查、防止对国家安全至关重要的技术与信息外流，审查范围涵盖半导体、人工智能、航空航天与防务领域的收购。委员会由财务省与国家安全保障局共同主持，成员还包括经济产业省与防卫省；授权立法对《外汇及外国贸易法》进行了修订，用以审查直接与间接的外国投资。首相高市早苗（Sanae Takaichi）表示“在各府省厅间进行一致的审查，也将提升对外国投资者的可预测性，从而既促进健全投资，又确保经济安全”，据报道日本正就外资审查框架与美国密切合作。 [12]</w:t>
      </w:r>
    </w:p>
    <w:p/>
    <w:p>
      <w:r>
        <w:rPr>
          <w:rFonts w:ascii="FangSong_GB2312" w:hAnsi="FangSong_GB2312" w:eastAsia="FangSong_GB2312"/>
          <w:b/>
          <w:sz w:val="24"/>
        </w:rPr>
        <w:t>13.李在明赴光州启动896万亿韩元芯片枢纽</w:t>
      </w:r>
    </w:p>
    <w:p>
      <w:r>
        <w:rPr>
          <w:rFonts w:ascii="FangSong_GB2312" w:hAnsi="FangSong_GB2312" w:eastAsia="FangSong_GB2312"/>
          <w:b w:val="0"/>
          <w:sz w:val="21"/>
        </w:rPr>
        <w:t>韩国总统李在明（Lee Jae Myung）6月30日赴光州，宣布以896万亿韩元（约合5790亿美元）总投资在湖南地区打造第二座半导体集群，涵盖半导体、AI数据中心和实体人工智能，并将这一布局称为对湖南“历史性的、举国层面的回报”。投资主体三星电子与SK海力士宣布合计投资800万亿韩元（约合5180亿美元），在全南—光州地区新建四座芯片制造厂、每家各建两座，选址在远离首尔以南既有半导体基地的西南地区，意在改变芯片产业过度集中于首都圈的格局，并为DRAM与高带宽内存的持续增长需求建立新产能基础，各厂目标在2030年代中期建成。产业蓝图与行政区划改革同步推进——光州与全罗南道将于2026年7月1日合并为全南—光州特别市，覆盖320万人口、地区生产总值达159万亿韩元；李在明还将从8月起亲自主持半导体竞争力特别委员会。 [13]</w:t>
      </w:r>
    </w:p>
    <w:p/>
    <w:p>
      <w:r>
        <w:rPr>
          <w:rFonts w:ascii="FangSong_GB2312" w:hAnsi="FangSong_GB2312" w:eastAsia="FangSong_GB2312"/>
          <w:b/>
          <w:sz w:val="24"/>
        </w:rPr>
        <w:t>14.加拿大排除拆分潜艇合同，韩华与蒂森克虏伯正面交锋</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加拿大国防部长麦金蒂（David McGuinty）明确排除将其潜艇采购合同一分为二的可能，这份名为加拿大巡逻潜艇项目（CPSP）的合同价值约60万亿韩元（约合390亿美元）、最多采购12艘柴电潜艇，由韩国韩华海洋（Hanwha Ocean）牵头的财团与德国蒂森克虏伯海洋系统公司（TKMS）正面竞争。韩华财团方案为KSS-III型改进版，TKMS主推212CD型，两家是加拿大政府2025年8月从竞标中筛选出的最终入围者。麦金蒂称“如果把任何舰队一分为二，最终往往会带来成本叠加”，实际上把竞争压成赢家通吃格局。为争夺合同双方均打出本国经济效益牌：韩华宣称项目可为加拿大带来逾43.3万个就业岗位和963亿加元GDP贡献，TKMS则称可创造65万个岗位和1600亿加元产值。加拿大总理卡尼（Mark Carney）预计将在7月7日安卡拉北约峰会前公布决定。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https://www.axios.com/2026/06/30/trump-supreme-court-economy</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https://www.nbcnews.com/business/business-news/comcast-spinoff-nbcuniversal-sky-split-two-companies-rcna352188</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https://www.aljazeera.com/news/liveblog/2026/6/30/live-us-iran-nuclear-talks-doha</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https://www.gov.uk/government/news/15-billion-new-funding-boost-to-transform-armed-forces-and-keep-the-uk-safe</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https://www.bloomberg.com/news/articles/2026-06-30/barclays-buys-london-hq-in-999-year-750-million-lease-deal</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https://www.aljazeera.com/economy/2026/6/30/eu-china-trade-tensions-steel-market-access</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https://www.euronews.com/business/2026/06/30/eu-shein-temu-tax-loophole-ends-customs-duties</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https://www.destatis.de/EN/Press/2026/06/PE26_261_611.html</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https://finance.yahoo.com/economy/articles/chinas-factory-activity-expands-june-015451418.html</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https://www.aljazeera.com/amp/news/2026/6/30/chinese-billionaire-guo-wengui-gets-30-years-in-us-prison-for-huge-fraud</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https://www.cnbc.com/2026/06/30/japan-yen-falls-lowest-level-since-1986-dollar-intervention-risk.html</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https://www.japantimes.co.jp/business/2026/06/30/jfic-first-meeting/</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https://www.koreaherald.com/article/10793367</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https://www.koreaherald.com/article/10793220</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