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83dc2c47dd48b602544638f191562879b96028"/>
    <w:p>
      <w:pPr>
        <w:pStyle w:val="Heading1"/>
      </w:pPr>
      <w:r>
        <w:t xml:space="preserve">Japan Daily News Intelligence — July 3, 2026</w:t>
      </w:r>
    </w:p>
    <w:bookmarkStart w:id="12" w:name="economy-markets"/>
    <w:p>
      <w:pPr>
        <w:pStyle w:val="Heading2"/>
      </w:pPr>
      <w:r>
        <w:t xml:space="preserve">1. Economy &amp; Markets</w:t>
      </w:r>
    </w:p>
    <w:bookmarkStart w:id="9" w:name="X4861f4afe4084c9405377d2f415cfef35fd0ac3"/>
    <w:p>
      <w:pPr>
        <w:pStyle w:val="Heading3"/>
      </w:pPr>
      <w:r>
        <w:t xml:space="preserve">Japan slaps provisional anti-dumping duties of up to 42.1% on Chinese and Taiwanese stainless steel</w:t>
      </w:r>
    </w:p>
    <w:p>
      <w:pPr>
        <w:pStyle w:val="FirstParagraph"/>
      </w:pPr>
      <w:r>
        <w:t xml:space="preserve">Japan’s Ministry of Finance imposed provisional anti-dumping duties of 3.6% to 42.1% on nickel-added cold-rolled stainless steel imported from China and Taiwan, in a notice dated July 3, 2026. The rates take effect July 9 and run through November 8, with the ceiling falling on Chinese exporters and lighter rates on Taiwanese producers.</w:t>
      </w:r>
    </w:p>
    <w:p>
      <w:pPr>
        <w:pStyle w:val="BodyText"/>
      </w:pPr>
      <w:r>
        <w:t xml:space="preserve">The measure closes a case that began in July 2025, when the ministry opened an investigation after Nippon Steel, Nippon Yakin Kogyo and two other domestic mills alleged that dumped imports were undercutting their prices. The Ministry of Economy, Trade and Industry (METI) ran the injury probe and concluded that the underpriced cold-rolled stainless steel — used in kitchen equipment, auto parts and construction fittings — was causing material harm to Japanese producers. The full investigation period was extended earlier this year to November 21, so these duties are the interim step before a final determination.</w:t>
      </w:r>
    </w:p>
    <w:p>
      <w:pPr>
        <w:pStyle w:val="BodyText"/>
      </w:pPr>
      <w:r>
        <w:t xml:space="preserve">The action lands amid a wider Japanese push against cheap Asian steel. On June 1 the two ministries opened a separate anti-dumping investigation into ordinary cold-rolled steel coil from South Korea, China and Taiwan, signalling that Tokyo intends to keep pressing trade-remedy cases as regional overcapacity floods export markets.</w:t>
      </w:r>
    </w:p>
    <w:p>
      <w:pPr>
        <w:pStyle w:val="BodyText"/>
      </w:pPr>
      <w:r>
        <w:rPr>
          <w:b/>
          <w:bCs/>
        </w:rPr>
        <w:t xml:space="preserve">References</w:t>
      </w:r>
    </w:p>
    <w:p>
      <w:pPr>
        <w:pStyle w:val="BodyText"/>
      </w:pPr>
      <w:r>
        <w:t xml:space="preserve">[1] Ministry of Finance Japan. (2026, July 3). Imposition of provisional anti-dumping duties on nickel-added cold-rolled stainless steel from China and Taiwan. Ministry of Finance Japan. https://www.mof.go.jp/english/policy/customs_tariff/traderemedy/ka20260703-2_e.html</w:t>
      </w:r>
      <w:r>
        <w:t xml:space="preserve"> </w:t>
      </w:r>
      <w:r>
        <w:t xml:space="preserve">[2] IndexBox. (2026, July 3). Japan anti-dumping duties on nickel-containing stainless steel from China and Taiwan. IndexBox. https://www.indexbox.io/blog/japan-to-impose-anti-dumping-duties-on-chinese-and-taiwanese-stainless-steel/</w:t>
      </w:r>
      <w:r>
        <w:t xml:space="preserve"> </w:t>
      </w:r>
      <w:r>
        <w:t xml:space="preserve">[3] Ministry of Economy, Trade and Industry. (2026, June 1). Initiation of an anti-dumping duties investigation of cold-rolled steel coil, sheet and strip originating in Korea, China and Taiwan. Ministry of Economy, Trade and Industry. https://www.meti.go.jp/english/press/2026/0601_002.html</w:t>
      </w:r>
    </w:p>
    <w:p>
      <w:r>
        <w:pict>
          <v:rect style="width:0;height:1.5pt" o:hralign="center" o:hrstd="t" o:hr="t"/>
        </w:pict>
      </w:r>
    </w:p>
    <w:bookmarkEnd w:id="9"/>
    <w:bookmarkStart w:id="10" w:name="Xbe37926a970c316fac1f0636239fbfc0c3654ee"/>
    <w:p>
      <w:pPr>
        <w:pStyle w:val="Heading3"/>
      </w:pPr>
      <w:r>
        <w:t xml:space="preserve">Japan’s shunto wage deal tops 5% for a third straight year at 5.01%</w:t>
      </w:r>
    </w:p>
    <w:p>
      <w:pPr>
        <w:pStyle w:val="FirstParagraph"/>
      </w:pPr>
      <w:r>
        <w:t xml:space="preserve">Workers at 5,368 companies won an average wage increase of 5.01% in the 2026 spring labour negotiations, according to the final tally released July 3 by Rengo, Japan’s largest trade union confederation. It marks the third consecutive year negotiated pay growth has cleared 5%, a streak unseen since the early 1990s.</w:t>
      </w:r>
    </w:p>
    <w:p>
      <w:pPr>
        <w:pStyle w:val="BodyText"/>
      </w:pPr>
      <w:r>
        <w:t xml:space="preserve">The final figure came in below the 5.26% recorded in the confederation’s first tally in March. That gap is structural, not a reversal: the early count is weighted toward large employers, and the average drifts down as results from small and medium-sized firms — which grant thinner raises — are folded in. Even so, holding above 5% while including smaller companies signals that the wage momentum is broadening rather than confined to blue-chip exporters.</w:t>
      </w:r>
    </w:p>
    <w:p>
      <w:pPr>
        <w:pStyle w:val="BodyText"/>
      </w:pPr>
      <w:r>
        <w:t xml:space="preserve">The number matters most for the Bank of Japan, which has tied further rate increases to evidence that wage gains are durable enough to sustain 2% inflation. Sustained shunto results feed directly into BOJ policy deliberations, and a third straight year above 5% strengthens the case that the central bank can keep tightening. The unresolved concern is real wages, which have lagged as price growth continues to erode the headline gains.</w:t>
      </w:r>
    </w:p>
    <w:p>
      <w:pPr>
        <w:pStyle w:val="BodyText"/>
      </w:pPr>
      <w:r>
        <w:rPr>
          <w:b/>
          <w:bCs/>
        </w:rPr>
        <w:t xml:space="preserve">References</w:t>
      </w:r>
    </w:p>
    <w:p>
      <w:pPr>
        <w:pStyle w:val="BodyText"/>
      </w:pPr>
      <w:r>
        <w:t xml:space="preserve">[4] Bloomberg. (2026, July 3). Japan’s 2026 wage talks result in third year of gains above 5%. Bloomberg. https://www.bloomberg.com/news/articles/2026-07-03/japan-s-2026-wage-talks-result-in-third-year-of-gains-above-5</w:t>
      </w:r>
      <w:r>
        <w:t xml:space="preserve"> </w:t>
      </w:r>
      <w:r>
        <w:t xml:space="preserve">[5] The Japan Times. (2026, March 23). Japan’s key labor union wins wage hike topping 5% for third year. The Japan Times. https://www.japantimes.co.jp/business/2026/03/23/companies/rengo-labor-unions-wage-hikes/</w:t>
      </w:r>
    </w:p>
    <w:p>
      <w:r>
        <w:pict>
          <v:rect style="width:0;height:1.5pt" o:hralign="center" o:hrstd="t" o:hr="t"/>
        </w:pict>
      </w:r>
    </w:p>
    <w:bookmarkEnd w:id="10"/>
    <w:bookmarkStart w:id="11" w:name="X48bebf1017f018b260cdb2862ec55c54f10b680"/>
    <w:p>
      <w:pPr>
        <w:pStyle w:val="Heading3"/>
      </w:pPr>
      <w:r>
        <w:t xml:space="preserve">Japan targets ¥370 trillion investment across 17 growth sectors to reignite</w:t>
      </w:r>
      <w:r>
        <w:t xml:space="preserve"> </w:t>
      </w:r>
      <w:r>
        <w:t xml:space="preserve">“animal spirits”</w:t>
      </w:r>
    </w:p>
    <w:p>
      <w:pPr>
        <w:pStyle w:val="FirstParagraph"/>
      </w:pPr>
      <w:r>
        <w:t xml:space="preserve">Economic Revitalisation Minister Akazawa Ryosei presented a roadmap on July 3 targeting ¥370 trillion ($2.3 trillion) in cumulative public and private investment across 17 priority sectors. The plan is framed as supply-side stimulus meant to unlock private-sector</w:t>
      </w:r>
      <w:r>
        <w:t xml:space="preserve"> </w:t>
      </w:r>
      <w:r>
        <w:t xml:space="preserve">“animal spirits”</w:t>
      </w:r>
      <w:r>
        <w:t xml:space="preserve"> </w:t>
      </w:r>
      <w:r>
        <w:t xml:space="preserve">through deregulation, tax incentives and state co-investment.</w:t>
      </w:r>
    </w:p>
    <w:p>
      <w:pPr>
        <w:pStyle w:val="BodyText"/>
      </w:pPr>
      <w:r>
        <w:t xml:space="preserve">The 17 sectors span artificial intelligence, semiconductors, green energy, space development, shipbuilding, critical minerals and advanced manufacturing. The largest single allocation — roughly ¥101.6 trillion — is earmarked for AI and chips, with about ¥68 trillion of that dedicated to semiconductor manufacturing. The government arrived at the ¥370 trillion figure by compiling sector-by-sector market forecasts and corporate capital-spending plans out to fiscal 2040, rather than committing that sum in new fiscal outlays.</w:t>
      </w:r>
    </w:p>
    <w:p>
      <w:pPr>
        <w:pStyle w:val="BodyText"/>
      </w:pPr>
      <w:r>
        <w:t xml:space="preserve">The initiative is a centrepiece of Prime Minister Takaichi Sanae’s growth strategy and of the ruling party’s economic platform. Critics inside industry have already flagged a familiar risk: with 17 headline areas and no sharp ranking of priorities, the roadmap could spread capital and attention too thin to move any one sector decisively.</w:t>
      </w:r>
    </w:p>
    <w:p>
      <w:pPr>
        <w:pStyle w:val="BodyText"/>
      </w:pPr>
      <w:r>
        <w:rPr>
          <w:b/>
          <w:bCs/>
        </w:rPr>
        <w:t xml:space="preserve">References</w:t>
      </w:r>
    </w:p>
    <w:p>
      <w:pPr>
        <w:pStyle w:val="BodyText"/>
      </w:pPr>
      <w:r>
        <w:t xml:space="preserve">[6] Tani, S. (2026, July 3). Japan aims to ignite animal spirits with $2.3tn plan. Nikkei Asia. https://asia.nikkei.com/economy/japan-aims-to-ignite-animal-spirits-with-2.3tn-plan</w:t>
      </w:r>
      <w:r>
        <w:t xml:space="preserve"> </w:t>
      </w:r>
      <w:r>
        <w:t xml:space="preserve">[7] Japan Today. (2026, June 20). Japan weighing ¥370 tril. yen investment in 17 growth areas by FY2040. Japan Today. https://japantoday.com/category/politics/japan-weighing-370-tril.-yen-investment-in-17-growth-areas-by-fy-2040</w:t>
      </w:r>
      <w:r>
        <w:t xml:space="preserve"> </w:t>
      </w:r>
      <w:r>
        <w:t xml:space="preserve">[8] Reuters. (2026, June 20). Japan to target $2.3 trillion public-private investment by 2040, Nikkei reports. Investing.com. https://www.investing.com/news/economy-news/japan-to-target-23-trillion-publicprivate-investment-by-2040-nikkei-reports-4751592</w:t>
      </w:r>
    </w:p>
    <w:p>
      <w:r>
        <w:pict>
          <v:rect style="width:0;height:1.5pt" o:hralign="center" o:hrstd="t" o:hr="t"/>
        </w:pict>
      </w:r>
    </w:p>
    <w:bookmarkEnd w:id="11"/>
    <w:bookmarkEnd w:id="12"/>
    <w:bookmarkStart w:id="15" w:name="politics-diplomacy"/>
    <w:p>
      <w:pPr>
        <w:pStyle w:val="Heading2"/>
      </w:pPr>
      <w:r>
        <w:t xml:space="preserve">2. Politics &amp; Diplomacy</w:t>
      </w:r>
    </w:p>
    <w:bookmarkStart w:id="13" w:name="X5502da085a7ac2f90d9f9e9fec518b8e8869a6c"/>
    <w:p>
      <w:pPr>
        <w:pStyle w:val="Heading3"/>
      </w:pPr>
      <w:r>
        <w:t xml:space="preserve">India and Japan conclude 16th annual summit with first joint naval defence project, AI pact and CEPA upgrade</w:t>
      </w:r>
    </w:p>
    <w:p>
      <w:pPr>
        <w:pStyle w:val="FirstParagraph"/>
      </w:pPr>
      <w:r>
        <w:t xml:space="preserve">Prime Ministers Narendra Modi and Takaichi Sanae issued a joint statement on July 3, 2026 at the close of the 16th India-Japan Annual Summit in Tokyo, spanning 16 outcome areas that pull the two countries into their closest defence and technology alignment yet.</w:t>
      </w:r>
    </w:p>
    <w:p>
      <w:pPr>
        <w:pStyle w:val="BodyText"/>
      </w:pPr>
      <w:r>
        <w:t xml:space="preserve">The headline deliverable is the two nations’ first formal defence co-development project: joint work on the Unicorn naval antenna, an integrated mast that consolidates a warship’s communication antennas into a single enclosed structure to shrink its radar cross-section and lower its electronic signature. For India, whose defence procurement from Japan has historically been minimal, moving from buyer to co-developer is a structural shift. The leaders also agreed to hold a 2+2 dialogue of foreign and defence ministers and signed a separate joint statement on AI governance and research collaboration.</w:t>
      </w:r>
    </w:p>
    <w:p>
      <w:pPr>
        <w:pStyle w:val="BodyText"/>
      </w:pPr>
      <w:r>
        <w:t xml:space="preserve">On the economic track, the two sides agreed to accelerate an upgrade of the 15-year-old Comprehensive Economic Partnership Agreement (CEPA) and reaffirmed a ¥10 trillion Japanese investment target in India.</w:t>
      </w:r>
      <w:r>
        <w:t xml:space="preserve"> </w:t>
      </w:r>
      <w:r>
        <w:t xml:space="preserve">“India is a trusted partner with whom we share a strategic vision. We will elevate our relationship to new heights,”</w:t>
      </w:r>
      <w:r>
        <w:t xml:space="preserve"> </w:t>
      </w:r>
      <w:r>
        <w:t xml:space="preserve">Takaichi said. The summit was her first official visit as prime minister, and Modi’s remarks foregrounded the CEPA modernisation and the defence co-development breakthrough as the visit’s core wins.</w:t>
      </w:r>
    </w:p>
    <w:p>
      <w:pPr>
        <w:pStyle w:val="BodyText"/>
      </w:pPr>
      <w:r>
        <w:rPr>
          <w:b/>
          <w:bCs/>
        </w:rPr>
        <w:t xml:space="preserve">References</w:t>
      </w:r>
    </w:p>
    <w:p>
      <w:pPr>
        <w:pStyle w:val="BodyText"/>
      </w:pPr>
      <w:r>
        <w:t xml:space="preserve">[9] Prime Minister of India. (2026, July 3). 16th India-Japan Annual Summit joint statement. PMIndia.gov.in. https://www.pmindia.gov.in/en/news_updates/16th-india-japan-annual-summit-joint-statement/</w:t>
      </w:r>
      <w:r>
        <w:t xml:space="preserve"> </w:t>
      </w:r>
      <w:r>
        <w:t xml:space="preserve">[10] IANS. (2026, July 3). India-Japan 16th Annual Summit concludes. IANS Live. https://www.ianslive.in/india-japan-16th-annual-summit-concludes-july-3-2026</w:t>
      </w:r>
      <w:r>
        <w:t xml:space="preserve"> </w:t>
      </w:r>
      <w:r>
        <w:t xml:space="preserve">[11] The Week. (2026, July 3). India-Japan summit outcomes. The Week. https://www.theweek.in</w:t>
      </w:r>
      <w:r>
        <w:t xml:space="preserve"> </w:t>
      </w:r>
      <w:r>
        <w:t xml:space="preserve">[12] India TV News. (2026, July 2). All about India-Japan UNICORN defence deal and how it’s a big milestone for Indian Navy. India TV News. https://www.indiatvnews.com/explainers/all-about-india-japan-unicorn-defence-deal-and-how-it-s-a-big-milestone-for-indian-navy-explained-2026-07-02-1046946</w:t>
      </w:r>
    </w:p>
    <w:p>
      <w:r>
        <w:pict>
          <v:rect style="width:0;height:1.5pt" o:hralign="center" o:hrstd="t" o:hr="t"/>
        </w:pict>
      </w:r>
    </w:p>
    <w:bookmarkEnd w:id="13"/>
    <w:bookmarkStart w:id="14" w:name="Xce9111e554fb4d51088e1a11334e0e594c93c61"/>
    <w:p>
      <w:pPr>
        <w:pStyle w:val="Heading3"/>
      </w:pPr>
      <w:r>
        <w:t xml:space="preserve">NHK Party leader Takashi Tachibana referred to prosecutors over 2024 Tokyo gubernatorial campaign posters</w:t>
      </w:r>
    </w:p>
    <w:p>
      <w:pPr>
        <w:pStyle w:val="FirstParagraph"/>
      </w:pPr>
      <w:r>
        <w:t xml:space="preserve">Tokyo police referred NHK Party leader Takashi Tachibana, 58, to prosecutors on July 3, 2026 on suspicion of defamation tied to campaign posters displayed during the July 2024 Tokyo gubernatorial election. It is the first criminal referral of the party’s leader.</w:t>
      </w:r>
    </w:p>
    <w:p>
      <w:pPr>
        <w:pStyle w:val="BodyText"/>
      </w:pPr>
      <w:r>
        <w:t xml:space="preserve">The alleged victim is Ayaka Otsu, leader of the political group Minna de Tsukuru To, who says she was defamed through the posters and filed a criminal complaint with the Metropolitan Police Department in September 2024. Police referred two additional people alongside Tachibana: a man in his 40s from Hiroshima who allegedly produced a defamatory video reachable through a QR code printed on the posters, and Satoshi Hamada, a 49-year-old former House of Councillors member of Tachibana’s group, on suspicion of abetting the offence.</w:t>
      </w:r>
    </w:p>
    <w:p>
      <w:pPr>
        <w:pStyle w:val="BodyText"/>
      </w:pPr>
      <w:r>
        <w:t xml:space="preserve">The 2024 gubernatorial race drew scrutiny for Tachibana’s poster tactics, in which his party fielded a wave of candidates and sold off allotted poster slots. The referral converts a long-running political controversy into a formal criminal matter, though prosecutors will decide whether to indict.</w:t>
      </w:r>
    </w:p>
    <w:p>
      <w:pPr>
        <w:pStyle w:val="BodyText"/>
      </w:pPr>
      <w:r>
        <w:rPr>
          <w:b/>
          <w:bCs/>
        </w:rPr>
        <w:t xml:space="preserve">References</w:t>
      </w:r>
    </w:p>
    <w:p>
      <w:pPr>
        <w:pStyle w:val="BodyText"/>
      </w:pPr>
      <w:r>
        <w:t xml:space="preserve">[13] The Japan Times. (2026, July 3). Anti-NHK politician Takashi Tachibana referred to prosecutors for defamation. The Japan Times. https://www.japantimes.co.jp/news/2026/07/03/japan/crime-legal/anti-nhk-party-leader-prosecutors/</w:t>
      </w:r>
      <w:r>
        <w:t xml:space="preserve"> </w:t>
      </w:r>
      <w:r>
        <w:t xml:space="preserve">[14] Nippon.com. (2026, July 2). Anti-NHK group leader Tachibana referred to prosecutors. Nippon.com. https://www.nippon.com/en/news/yjj2026070201116/</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4"/>
    <w:bookmarkEnd w:id="15"/>
    <w:bookmarkStart w:id="18" w:name="technology-industry"/>
    <w:p>
      <w:pPr>
        <w:pStyle w:val="Heading2"/>
      </w:pPr>
      <w:r>
        <w:t xml:space="preserve">3. Technology &amp; Industry</w:t>
      </w:r>
    </w:p>
    <w:bookmarkStart w:id="16" w:name="Xa89de25753ecc3d8946228ace9bb27224c943f8"/>
    <w:p>
      <w:pPr>
        <w:pStyle w:val="Heading3"/>
      </w:pPr>
      <w:r>
        <w:t xml:space="preserve">Japan’s factory-robot makers bet on AI to reverse a slide in global market share</w:t>
      </w:r>
    </w:p>
    <w:p>
      <w:pPr>
        <w:pStyle w:val="FirstParagraph"/>
      </w:pPr>
      <w:r>
        <w:t xml:space="preserve">Yaskawa Electric now builds roughly one-third of the robots in its newest factory as AI-powered machines, part of a broader Japanese push to use artificial intelligence to reverse a decline in the industry’s global standing. Japan’s share of the world factory-robot market has fallen from a historic peak above 50% to about 40% as Chinese and European manufacturers expanded, according to a Nikkei Asia report published July 3.</w:t>
      </w:r>
    </w:p>
    <w:p>
      <w:pPr>
        <w:pStyle w:val="BodyText"/>
      </w:pPr>
      <w:r>
        <w:t xml:space="preserve">The threat is less in hardware than in the software layer. Japanese firms including Yaskawa, Fanuc, Kawasaki and Mitsubishi Electric still dominate precision robot arms, but the value is shifting toward AI that lets a robot adapt to unfamiliar tasks rather than repeat a fixed motion. Yaskawa’s answer is its MOTOMAN NEXT line, an adaptive robot aimed at food handling, logistics, medical and agricultural work — sectors where variability has long resisted automation.</w:t>
      </w:r>
    </w:p>
    <w:p>
      <w:pPr>
        <w:pStyle w:val="BodyText"/>
      </w:pPr>
      <w:r>
        <w:t xml:space="preserve">The comeback strategy is also geographic. Yaskawa is building a US plant to produce AI-equipped robots, targeting output by the fiscal year ending February 2029, positioning production closer to the American demand its Chinese and European rivals are chasing. Tokyo has set an official goal of capturing 30% of the global</w:t>
      </w:r>
      <w:r>
        <w:t xml:space="preserve"> </w:t>
      </w:r>
      <w:r>
        <w:t xml:space="preserve">“physical AI”</w:t>
      </w:r>
      <w:r>
        <w:t xml:space="preserve"> </w:t>
      </w:r>
      <w:r>
        <w:t xml:space="preserve">market by 2040.</w:t>
      </w:r>
    </w:p>
    <w:p>
      <w:pPr>
        <w:pStyle w:val="BodyText"/>
      </w:pPr>
      <w:r>
        <w:rPr>
          <w:b/>
          <w:bCs/>
        </w:rPr>
        <w:t xml:space="preserve">References</w:t>
      </w:r>
    </w:p>
    <w:p>
      <w:pPr>
        <w:pStyle w:val="BodyText"/>
      </w:pPr>
      <w:r>
        <w:t xml:space="preserve">[15] Nitta, E. (2026, July 3). Japan eyes AI-powered comeback in factory robot race with China, Europe. Nikkei Asia. https://asia.nikkei.com/business/technology/artificial-intelligence/japan-eyes-ai-powered-comeback-in-factory-robot-race-with-china-europe</w:t>
      </w:r>
      <w:r>
        <w:t xml:space="preserve"> </w:t>
      </w:r>
      <w:r>
        <w:t xml:space="preserve">[16] Nikkei Asia. (2026, June). Japan’s Yaskawa to invest $180m to build AI-powered robots in US. Nikkei Asia. https://asia.nikkei.com/business/technology/japan-s-yaskawa-to-invest-180m-to-build-ai-powered-robots-in-us</w:t>
      </w:r>
    </w:p>
    <w:p>
      <w:r>
        <w:pict>
          <v:rect style="width:0;height:1.5pt" o:hralign="center" o:hrstd="t" o:hr="t"/>
        </w:pict>
      </w:r>
    </w:p>
    <w:bookmarkEnd w:id="16"/>
    <w:bookmarkStart w:id="17" w:name="X455138f03e81211d1897ccd884e17dad2ff66eb"/>
    <w:p>
      <w:pPr>
        <w:pStyle w:val="Heading3"/>
      </w:pPr>
      <w:r>
        <w:t xml:space="preserve">SoftBank to rent AI computing at 10-gigawatt scale in the US through new SB Neo unit</w:t>
      </w:r>
    </w:p>
    <w:p>
      <w:pPr>
        <w:pStyle w:val="FirstParagraph"/>
      </w:pPr>
      <w:r>
        <w:t xml:space="preserve">SoftBank Group unveiled plans on or around July 3, 2026 to rent large-scale AI computing infrastructure in the United States at a scale of 10 gigawatts, marketed through a new cloud-service entity. The vehicle is SB Neo, a joint venture between SoftBank and Noetra whose formation was announced July 2.</w:t>
      </w:r>
    </w:p>
    <w:p>
      <w:pPr>
        <w:pStyle w:val="BodyText"/>
      </w:pPr>
      <w:r>
        <w:t xml:space="preserve">SB Neo, incorporated in Delaware, is SoftBank’s entry into the</w:t>
      </w:r>
      <w:r>
        <w:t xml:space="preserve"> </w:t>
      </w:r>
      <w:r>
        <w:t xml:space="preserve">“neocloud”</w:t>
      </w:r>
      <w:r>
        <w:t xml:space="preserve"> </w:t>
      </w:r>
      <w:r>
        <w:t xml:space="preserve">business — renting GPU capacity to enterprises and hyperscalers hungry for AI compute. It draws on SoftBank Group’s 10GW energy-and-infrastructure pipeline, anchored by a data-centre campus that subsidiary SB Energy is developing on US Department of Energy land at the Portsmouth site in Pike County, Ohio. The first 800-megawatt phase is slated to start operations in 2028, with the full buildout expected around March 2028.</w:t>
      </w:r>
    </w:p>
    <w:p>
      <w:pPr>
        <w:pStyle w:val="BodyText"/>
      </w:pPr>
      <w:r>
        <w:t xml:space="preserve">The move slots into founder Masayoshi Son’s aggressive AI-infrastructure bet, alongside SoftBank’s involvement in US data-centre projects and its stake in OpenAI. It also puts SoftBank into direct competition with a crowded field of neocloud providers racing to monetise scarce AI computing power.</w:t>
      </w:r>
    </w:p>
    <w:p>
      <w:pPr>
        <w:pStyle w:val="BodyText"/>
      </w:pPr>
      <w:r>
        <w:rPr>
          <w:b/>
          <w:bCs/>
        </w:rPr>
        <w:t xml:space="preserve">References</w:t>
      </w:r>
    </w:p>
    <w:p>
      <w:pPr>
        <w:pStyle w:val="BodyText"/>
      </w:pPr>
      <w:r>
        <w:t xml:space="preserve">[17] The Japan Times. (2026, July 3). SoftBank plans to rent AI compute in U.S. at 10-gigawatt scale. The Japan Times. https://www.japantimes.co.jp/business/2026/07/03/companies/softbank-ai-cloud-service/</w:t>
      </w:r>
      <w:r>
        <w:t xml:space="preserve"> </w:t>
      </w:r>
      <w:r>
        <w:t xml:space="preserve">[18] Bloomberg. (2026, July 2). SoftBank launches AI cloud unit with plans to tap 10-gigawatt capacity. Bloomberg. https://www.bloomberg.com/news/articles/2026-07-02/softbank-launches-ai-cloud-unit-with-plans-to-tap-10-gigawatt-capacity</w:t>
      </w:r>
      <w:r>
        <w:t xml:space="preserve"> </w:t>
      </w:r>
      <w:r>
        <w:t xml:space="preserve">[19] DatacenterDynamics. (2026, July 2). SoftBank establishes SB Neo to operate US neocloud business. DatacenterDynamics. https://www.datacenterdynamics.com/en/news/softbank-establishes-sb-neo-to-operate-us-neocloud-business/</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7"/>
    <w:bookmarkEnd w:id="18"/>
    <w:bookmarkStart w:id="22" w:name="society-livelihood"/>
    <w:p>
      <w:pPr>
        <w:pStyle w:val="Heading2"/>
      </w:pPr>
      <w:r>
        <w:t xml:space="preserve">4. Society &amp; Livelihood</w:t>
      </w:r>
    </w:p>
    <w:bookmarkStart w:id="19" w:name="Xce1af42fbad91f8792690daf35afe0651f263b1"/>
    <w:p>
      <w:pPr>
        <w:pStyle w:val="Heading3"/>
      </w:pPr>
      <w:r>
        <w:t xml:space="preserve">Tokyo’s second</w:t>
      </w:r>
      <w:r>
        <w:t xml:space="preserve"> </w:t>
      </w:r>
      <w:r>
        <w:t xml:space="preserve">“baby hatch”</w:t>
      </w:r>
      <w:r>
        <w:t xml:space="preserve"> </w:t>
      </w:r>
      <w:r>
        <w:t xml:space="preserve">took in 20 newborns in its first year, hospital says</w:t>
      </w:r>
    </w:p>
    <w:p>
      <w:pPr>
        <w:pStyle w:val="FirstParagraph"/>
      </w:pPr>
      <w:r>
        <w:t xml:space="preserve">San-ikukai Hospital in Tokyo’s Sumida Ward received 20 newborns through its anonymous</w:t>
      </w:r>
      <w:r>
        <w:t xml:space="preserve"> </w:t>
      </w:r>
      <w:r>
        <w:t xml:space="preserve">“baby hatch”</w:t>
      </w:r>
      <w:r>
        <w:t xml:space="preserve"> </w:t>
      </w:r>
      <w:r>
        <w:t xml:space="preserve">in the facility’s first year, hospital head Hitoshi Kato told a press conference on July 3, 2026. Fifteen of the 20 infants required medical care after admission, and seven births were handled under the hospital’s confidential-birth programme.</w:t>
      </w:r>
    </w:p>
    <w:p>
      <w:pPr>
        <w:pStyle w:val="BodyText"/>
      </w:pPr>
      <w:r>
        <w:t xml:space="preserve">Most infants arrived in acute distress — the hospital said the overwhelming majority were brought in within 24 hours of birth.</w:t>
      </w:r>
      <w:r>
        <w:t xml:space="preserve"> </w:t>
      </w:r>
      <w:r>
        <w:t xml:space="preserve">“Society must change to eliminate high-risk home births,”</w:t>
      </w:r>
      <w:r>
        <w:t xml:space="preserve"> </w:t>
      </w:r>
      <w:r>
        <w:t xml:space="preserve">Kato said, pressing for a formal confidential-birth system that would let women in crisis deliver safely without disclosing their identity to the public.</w:t>
      </w:r>
    </w:p>
    <w:p>
      <w:pPr>
        <w:pStyle w:val="BodyText"/>
      </w:pPr>
      <w:r>
        <w:t xml:space="preserve">The San-ikukai hatch, opened in March 2025, is only the second in Japan. The first, at Jikei Hospital in Kumamoto, has operated since 2007 and has taken in more than 200 infants over nearly two decades. The persistent demand at both sites points to a gap in Japan’s support for women facing unwanted or concealed pregnancies — one that a patchwork of two anonymous drop-off points cannot close on its own.</w:t>
      </w:r>
    </w:p>
    <w:p>
      <w:pPr>
        <w:pStyle w:val="BodyText"/>
      </w:pPr>
      <w:r>
        <w:rPr>
          <w:b/>
          <w:bCs/>
        </w:rPr>
        <w:t xml:space="preserve">References</w:t>
      </w:r>
    </w:p>
    <w:p>
      <w:pPr>
        <w:pStyle w:val="BodyText"/>
      </w:pPr>
      <w:r>
        <w:t xml:space="preserve">[20] The Japan Times. (2026, July 3). Tokyo hospital baby hatch accepts 20 newborns in first year. The Japan Times. https://www.japantimes.co.jp/news/2026/07/03/japan/society/tokyo-hospital-baby-hatch/</w:t>
      </w:r>
      <w:r>
        <w:t xml:space="preserve"> </w:t>
      </w:r>
      <w:r>
        <w:t xml:space="preserve">[21] Jiji Press. (2026, July 2). Tokyo hospital baby hatch accepts 20 newborns in 1st year. Jiji Press. https://jen.jiji.com/jc/eng?g=eco&amp;k=2026070200888</w:t>
      </w:r>
    </w:p>
    <w:p>
      <w:r>
        <w:pict>
          <v:rect style="width:0;height:1.5pt" o:hralign="center" o:hrstd="t" o:hr="t"/>
        </w:pict>
      </w:r>
    </w:p>
    <w:bookmarkEnd w:id="19"/>
    <w:bookmarkStart w:id="20" w:name="Xd0232edafbd8be75a4dee2b4879d7c6bb7e033c"/>
    <w:p>
      <w:pPr>
        <w:pStyle w:val="Heading3"/>
      </w:pPr>
      <w:r>
        <w:t xml:space="preserve">Japan’s parliament adds women’s restrooms after a petition led by the first female prime minister</w:t>
      </w:r>
    </w:p>
    <w:p>
      <w:pPr>
        <w:pStyle w:val="FirstParagraph"/>
      </w:pPr>
      <w:r>
        <w:t xml:space="preserve">Japan’s National Diet moved to add dedicated women’s restrooms near its main chamber as of July 3, 2026, following a cross-party petition that laid bare how little the 1936 building was designed for women lawmakers. The restroom beside the Lower House chamber holds only two cubicles for women; that number is being expanded to four after the current session ends July 17.</w:t>
      </w:r>
    </w:p>
    <w:p>
      <w:pPr>
        <w:pStyle w:val="BodyText"/>
      </w:pPr>
      <w:r>
        <w:t xml:space="preserve">The petition carried 58 signatures, including that of Prime Minister Takaichi Sanae, Japan’s first woman to hold the office. Signatories described women lawmakers queuing before plenary sessions because the facilities could not handle them. Across the entire Lower House building, men have 12 restrooms with 67 stalls against nine women’s facilities totalling 22 cubicles.</w:t>
      </w:r>
    </w:p>
    <w:p>
      <w:pPr>
        <w:pStyle w:val="BodyText"/>
      </w:pPr>
      <w:r>
        <w:t xml:space="preserve">The imbalance is a legacy of timing: the Diet building was completed nearly a decade before Japanese women won the vote in December 1945. Critics noted that the response — two additional cubicles — is modest against a structural shortfall that has become a symbol of the barriers women still face in Japanese politics, where they remain a small minority of lawmakers.</w:t>
      </w:r>
    </w:p>
    <w:p>
      <w:pPr>
        <w:pStyle w:val="BodyText"/>
      </w:pPr>
      <w:r>
        <w:rPr>
          <w:b/>
          <w:bCs/>
        </w:rPr>
        <w:t xml:space="preserve">References</w:t>
      </w:r>
    </w:p>
    <w:p>
      <w:pPr>
        <w:pStyle w:val="BodyText"/>
      </w:pPr>
      <w:r>
        <w:t xml:space="preserve">[22] The Japan Times. (2026, July 3). Following petition, female lawmakers in Japan get two more toilets. The Japan Times. https://www.japantimes.co.jp/news/2026/07/03/japan/politics/women-restrooms-parliament/</w:t>
      </w:r>
      <w:r>
        <w:t xml:space="preserve"> </w:t>
      </w:r>
      <w:r>
        <w:t xml:space="preserve">[23] The Manila Times. (2026, July 3). Japanese women MPs get just two more toilets. The Manila Times. https://www.manilatimes.net/2026/07/03/world/asia-oceania/japanese-women-mps-get-just-two-more-toilets/2377559</w:t>
      </w:r>
    </w:p>
    <w:p>
      <w:r>
        <w:pict>
          <v:rect style="width:0;height:1.5pt" o:hralign="center" o:hrstd="t" o:hr="t"/>
        </w:pict>
      </w:r>
    </w:p>
    <w:bookmarkEnd w:id="20"/>
    <w:bookmarkStart w:id="21" w:name="X72c7025750f6babb3d0ae5ab3bcdd11533d22a3"/>
    <w:p>
      <w:pPr>
        <w:pStyle w:val="Heading3"/>
      </w:pPr>
      <w:r>
        <w:t xml:space="preserve">Tokyo Pride draws thousands as Japan stays the only G7 nation without marriage equality</w:t>
      </w:r>
    </w:p>
    <w:p>
      <w:pPr>
        <w:pStyle w:val="FirstParagraph"/>
      </w:pPr>
      <w:r>
        <w:t xml:space="preserve">Tokyo Pride 2026 drew tens of thousands of marchers on July 3, 2026, with advocates spotlighting Japan’s standing as the only G7 nation that does not legally recognise same-sex marriage. Roughly 67% of Japanese citizens support marriage equality, according to public polling, a gap between opinion and law that organisers used to press the Diet to act before the next election cycle.</w:t>
      </w:r>
    </w:p>
    <w:p>
      <w:pPr>
        <w:pStyle w:val="BodyText"/>
      </w:pPr>
      <w:r>
        <w:t xml:space="preserve">The timing sharpens the demand. The Supreme Court accepted six marriage-equality appeals in March 2026 and a ruling is expected within roughly a year, giving this year’s march the feel of a decisive moment. Successive lower courts have ruled the absence of same-sex marriage recognition unconstitutional or in a state of unconstitutionality, but only national legislation or a top-court order can change the civil code.</w:t>
      </w:r>
    </w:p>
    <w:p>
      <w:pPr>
        <w:pStyle w:val="BodyText"/>
      </w:pPr>
      <w:r>
        <w:t xml:space="preserve">A patchwork already exists in the vacuum: since 2015, cities and prefectures covering more than 90% of the population have issued partnership certificates that confer some benefits. Those certificates fall well short of marriage, lacking inheritance, spousal and parental rights — the concrete gaps advocates want the Diet to close.</w:t>
      </w:r>
    </w:p>
    <w:p>
      <w:pPr>
        <w:pStyle w:val="BodyText"/>
      </w:pPr>
      <w:r>
        <w:rPr>
          <w:b/>
          <w:bCs/>
        </w:rPr>
        <w:t xml:space="preserve">References</w:t>
      </w:r>
    </w:p>
    <w:p>
      <w:pPr>
        <w:pStyle w:val="BodyText"/>
      </w:pPr>
      <w:r>
        <w:t xml:space="preserve">[24] The Japan Times. (2026, July 3). Tokyo Pride draws thousands as Japan debates same-sex marriage. The Japan Times. https://www.japantimes.co.jp/news/2026/07/03/japan/society/tokyo-pride-lgbtq-rights/</w:t>
      </w:r>
      <w:r>
        <w:t xml:space="preserve"> </w:t>
      </w:r>
      <w:r>
        <w:t xml:space="preserve">[25] The Japan Times. (2026, June 7). Tokyo Pride draws thousands to spotlight important year for LGBTQ rights. The Japan Times. https://www.japantimes.co.jp/news/2026/06/07/japan/society/rainbow-pride-tokyo-2026/</w:t>
      </w:r>
    </w:p>
    <w:p>
      <w:r>
        <w:pict>
          <v:rect style="width:0;height:1.5pt" o:hralign="center" o:hrstd="t" o:hr="t"/>
        </w:pict>
      </w:r>
    </w:p>
    <w:bookmarkEnd w:id="21"/>
    <w:bookmarkEnd w:id="22"/>
    <w:bookmarkStart w:id="23" w:name="corporate-ipo-ma"/>
    <w:p>
      <w:pPr>
        <w:pStyle w:val="Heading2"/>
      </w:pPr>
      <w:r>
        <w:t xml:space="preserve">5.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23"/>
    <w:bookmarkStart w:id="24"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2026-07-03T08:48:25Z</dcterms:created>
  <dcterms:modified xsi:type="dcterms:W3CDTF">2026-07-03T08:48:25Z</dcterms:modified>
</cp:coreProperties>
</file>

<file path=docProps/custom.xml><?xml version="1.0" encoding="utf-8"?>
<Properties xmlns="http://schemas.openxmlformats.org/officeDocument/2006/custom-properties" xmlns:vt="http://schemas.openxmlformats.org/officeDocument/2006/docPropsVTypes"/>
</file>