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128f0540c6906b6ae5996ac45dc99cd72a2dd26"/>
    <w:p>
      <w:pPr>
        <w:pStyle w:val="Heading1"/>
      </w:pPr>
      <w:r>
        <w:t xml:space="preserve">China Daily News Intelligence — June 30, 2026</w:t>
      </w:r>
    </w:p>
    <w:bookmarkStart w:id="13" w:name="economy-markets"/>
    <w:p>
      <w:pPr>
        <w:pStyle w:val="Heading2"/>
      </w:pPr>
      <w:r>
        <w:t xml:space="preserve">1. Economy &amp; Markets</w:t>
      </w:r>
    </w:p>
    <w:bookmarkStart w:id="9" w:name="Xdb685ddd75a472a0686846fa374996a7d3e93cc"/>
    <w:p>
      <w:pPr>
        <w:pStyle w:val="Heading3"/>
      </w:pPr>
      <w:r>
        <w:t xml:space="preserve">China factory activity expands for a third straight month in June, lifted by AI-linked high-tech exports</w:t>
      </w:r>
    </w:p>
    <w:p>
      <w:pPr>
        <w:pStyle w:val="FirstParagraph"/>
      </w:pPr>
      <w:r>
        <w:t xml:space="preserve">China’s official manufacturing PMI rose to 50.3 in June from 50.0 in May, the National Bureau of Statistics reported June 30, beating the 50.1 median forecast in a Reuters poll and holding above the 50-point line that separates expansion from contraction for a third straight month. NBS chief statistician Huo Lihui said the June data reflected that China’s economic climate was warming.</w:t>
      </w:r>
    </w:p>
    <w:p>
      <w:pPr>
        <w:pStyle w:val="BodyText"/>
      </w:pPr>
      <w:r>
        <w:t xml:space="preserve">The strength was lopsided. The high-tech manufacturing sub-index climbed to 53.5, up 0.6 points from May and rising for a fourth consecutive month, while the broad gauge barely cleared the threshold. New orders returned to growth at 51.2 from 49.9 in May, foreign orders crossed back above water at 50.1 from 48.6, and output held at 51.4. Employment stayed soft at 48.4 — factories are producing more without hiring. Input cost inflation eased to a six-month low of 54.2 from 60.5, taking pressure off margins.</w:t>
      </w:r>
    </w:p>
    <w:p>
      <w:pPr>
        <w:pStyle w:val="BodyText"/>
      </w:pPr>
      <w:r>
        <w:t xml:space="preserve">The AI build-out is doing the heavy lifting. Automated data-processing-equipment exports surged about 60% year-on-year in May, the category that captures servers and computing gear feeding the global datacentre boom; furniture exports, a proxy for old-economy consumer demand, rose just 1.9% over the same stretch. The split underlines an economy where AI-adjacent supply chains are running hot while traditional goods and domestic demand stay weak. Bank of America lifted its 2026 China export-growth forecast to 15%. The non-manufacturing PMI edged up to 50.2 from 50.1 and the composite reading rose to 50.6 from 50.5.</w:t>
      </w:r>
    </w:p>
    <w:p>
      <w:pPr>
        <w:pStyle w:val="BodyText"/>
      </w:pPr>
      <w:r>
        <w:rPr>
          <w:b/>
          <w:bCs/>
        </w:rPr>
        <w:t xml:space="preserve">References</w:t>
      </w:r>
    </w:p>
    <w:p>
      <w:pPr>
        <w:pStyle w:val="BodyText"/>
      </w:pPr>
      <w:r>
        <w:t xml:space="preserve">[1] Cash, J. (2026, June 30). China’s factory activity expands in June on high-tech exports. Reuters. https://finance.yahoo.com/economy/articles/chinas-factory-activity-expands-june-015451418.html</w:t>
      </w:r>
      <w:r>
        <w:t xml:space="preserve"> </w:t>
      </w:r>
      <w:r>
        <w:t xml:space="preserve">[2] Reuters. (2026, June 30). China’s June non-manufacturing PMI rises. Reuters. https://finance.yahoo.com/economy/articles/chinas-june-non-manufacturing-pmi-014138663.html</w:t>
      </w:r>
      <w:r>
        <w:t xml:space="preserve"> </w:t>
      </w:r>
      <w:r>
        <w:t xml:space="preserve">[3] Associated Press. (2026, June 30). China’s factory activity expands in June with boost from tech exports. ABC News. https://abcnews.com/Business/wireStory/chinas-factory-activity-expands-june-boost-tech-exports-134331296</w:t>
      </w:r>
      <w:r>
        <w:t xml:space="preserve"> </w:t>
      </w:r>
      <w:r>
        <w:t xml:space="preserve">[4] CNBC. (2026, June 30). China factory activity grows faster than expected in June on tech export demand. CNBC. https://www.cnbc.com/2026/06/30/china-factory-activity-june-tech-export-demand-pmi-nbs.html</w:t>
      </w:r>
    </w:p>
    <w:p>
      <w:r>
        <w:pict>
          <v:rect style="width:0;height:1.5pt" o:hralign="center" o:hrstd="t" o:hr="t"/>
        </w:pict>
      </w:r>
    </w:p>
    <w:bookmarkEnd w:id="9"/>
    <w:bookmarkStart w:id="10" w:name="X049f342c8e5f58e2a7c31599352f00695d566c0"/>
    <w:p>
      <w:pPr>
        <w:pStyle w:val="Heading3"/>
      </w:pPr>
      <w:r>
        <w:t xml:space="preserve">Asian equities close a record-breaking quarter as China’s CSI300 gains about 10%, yuan firms after PMI</w:t>
      </w:r>
    </w:p>
    <w:p>
      <w:pPr>
        <w:pStyle w:val="FirstParagraph"/>
      </w:pPr>
      <w:r>
        <w:t xml:space="preserve">China’s mainland blue-chip CSI300 index posted gains of about 10% for the second quarter as Asian markets wrapped one of their strongest three-month runs on record on the final trading day of Q2 2026. The yuan firmed 0.1% after stronger-than-expected June PMI data landed in the morning session, while the dollar index rose 0.2% to 101.32.</w:t>
      </w:r>
    </w:p>
    <w:p>
      <w:pPr>
        <w:pStyle w:val="BodyText"/>
      </w:pPr>
      <w:r>
        <w:t xml:space="preserve">China’s advance was modest next to its neighbours. Japan’s Nikkei rose 1.6% on the day and was set for a record quarterly surge exceeding 38%. South Korea’s KOSPI jumped 3% on the day for a near-71% second-quarter gain, the standout among major Asian benchmarks and now the world’s best-performing major market this year, powered by chip names riding the AI trade. Taiwan’s benchmark surged more than 46% for the quarter on the same semiconductor wave.</w:t>
      </w:r>
    </w:p>
    <w:p>
      <w:pPr>
        <w:pStyle w:val="BodyText"/>
      </w:pPr>
      <w:r>
        <w:t xml:space="preserve">Hong Kong was the outlier. The Hang Seng underperformed with a 7.5% quarterly decline, a sharp divergence from the mainland’s CSI300 even as both track Chinese corporate earnings.</w:t>
      </w:r>
    </w:p>
    <w:p>
      <w:pPr>
        <w:pStyle w:val="BodyText"/>
      </w:pPr>
      <w:r>
        <w:rPr>
          <w:b/>
          <w:bCs/>
        </w:rPr>
        <w:t xml:space="preserve">References</w:t>
      </w:r>
    </w:p>
    <w:p>
      <w:pPr>
        <w:pStyle w:val="BodyText"/>
      </w:pPr>
      <w:r>
        <w:t xml:space="preserve">[5] Westbrook, T. (2026, June 30). Asian stocks set for record-breaking quarter; dollar sinks gold and yen. Reuters. https://finance.yahoo.com/news/asian-stocks-set-record-breaking-023905584.html</w:t>
      </w:r>
      <w:r>
        <w:t xml:space="preserve"> </w:t>
      </w:r>
      <w:r>
        <w:t xml:space="preserve">[6] Reuters. (2026, June 30). Asian stocks set for record-breaking quarter; dollar sinks gold and yen. Investing.com. https://www.investing.com/news/economy-news/asian-stocks-set-for-recordbreaking-quarter-dollar-sinks-gold-and-yen-4766831</w:t>
      </w:r>
    </w:p>
    <w:p>
      <w:r>
        <w:pict>
          <v:rect style="width:0;height:1.5pt" o:hralign="center" o:hrstd="t" o:hr="t"/>
        </w:pict>
      </w:r>
    </w:p>
    <w:bookmarkEnd w:id="10"/>
    <w:bookmarkStart w:id="11" w:name="X5ba7c38c17ed51c39a7adeb7980b79f4c51d12b"/>
    <w:p>
      <w:pPr>
        <w:pStyle w:val="Heading3"/>
      </w:pPr>
      <w:r>
        <w:t xml:space="preserve">China broker stocks head for best month since October as trading boom and IPO pipeline drive rally</w:t>
      </w:r>
    </w:p>
    <w:p>
      <w:pPr>
        <w:pStyle w:val="FirstParagraph"/>
      </w:pPr>
      <w:r>
        <w:t xml:space="preserve">A Bloomberg Intelligence gauge of onshore brokerages rose about 4.3% in June, recovering from a drop of more than 3% in May and setting up the best monthly gain since October 2025. The rebound is being fed by a surge in trading turnover and a busy IPO calendar that investors expect to keep order flow high.</w:t>
      </w:r>
    </w:p>
    <w:p>
      <w:pPr>
        <w:pStyle w:val="BodyText"/>
      </w:pPr>
      <w:r>
        <w:t xml:space="preserve">The activity shows up in the public finances: securities transaction stamp duty revenue jumped 88.8% year-on-year in the first five months of 2026, a direct read on how much more investors are trading. The frenzy spilled into the brokers’ own shares — China Securities Co. and GF Securities were among names that hit their daily trading limits earlier in June, on a session that saw the A-share brokerage sector spike more than 7%.</w:t>
      </w:r>
    </w:p>
    <w:p>
      <w:pPr>
        <w:pStyle w:val="BodyText"/>
      </w:pPr>
      <w:r>
        <w:t xml:space="preserve">Behind the cyclical bounce sits a structural shift. PBOC Governor Pan Gongsheng noted at the Lujiazui Forum, the annual Shanghai finance gathering held in mid-June, that direct financing’s share has surpassed bank lending for the first time — bond and equity issuance now outweigh loans in China’s flow of new credit. That tilts the financial system toward the capital-markets intermediaries brokers run, and toward the underwriting and trading fees that move their earnings.</w:t>
      </w:r>
    </w:p>
    <w:p>
      <w:pPr>
        <w:pStyle w:val="BodyText"/>
      </w:pPr>
      <w:r>
        <w:rPr>
          <w:b/>
          <w:bCs/>
        </w:rPr>
        <w:t xml:space="preserve">References</w:t>
      </w:r>
    </w:p>
    <w:p>
      <w:pPr>
        <w:pStyle w:val="BodyText"/>
      </w:pPr>
      <w:r>
        <w:t xml:space="preserve">[7] Bloomberg. (2026, June 30). China Broker Stocks Eye Best Month Since October on Trading Boom. Bloomberg. https://www.bloomberg.com/news/articles/2026-06-30/china-broker-stocks-eye-best-month-since-october-on-trading-boom</w:t>
      </w:r>
      <w:r>
        <w:t xml:space="preserve"> </w:t>
      </w:r>
      <w:r>
        <w:t xml:space="preserve">[8] BigGo Finance. (2026, June 22). Chinese Brokerage Stocks Surge 7.5% Triggering Circuit Breakers as</w:t>
      </w:r>
      <w:r>
        <w:t xml:space="preserve"> </w:t>
      </w:r>
      <w:r>
        <w:t xml:space="preserve">“Three-Pronged Synergy”</w:t>
      </w:r>
      <w:r>
        <w:t xml:space="preserve"> </w:t>
      </w:r>
      <w:r>
        <w:t xml:space="preserve">Reshapes Valuation Logic. BigGo Finance. https://finance.biggo.com/news/9bdb659b-6a1b-4be4-922a-ac5fa665769b</w:t>
      </w:r>
    </w:p>
    <w:p>
      <w:r>
        <w:pict>
          <v:rect style="width:0;height:1.5pt" o:hralign="center" o:hrstd="t" o:hr="t"/>
        </w:pict>
      </w:r>
    </w:p>
    <w:bookmarkEnd w:id="11"/>
    <w:bookmarkStart w:id="12" w:name="X6e1485a55142a7a1d1942858e09eb9334de49b3"/>
    <w:p>
      <w:pPr>
        <w:pStyle w:val="Heading3"/>
      </w:pPr>
      <w:r>
        <w:t xml:space="preserve">China caps offshore debt yields as LGFV risks mount, telling bankers to avoid notes above 4% CNH and 5% USD</w:t>
      </w:r>
    </w:p>
    <w:p>
      <w:pPr>
        <w:pStyle w:val="FirstParagraph"/>
      </w:pPr>
      <w:r>
        <w:t xml:space="preserve">China’s National Development and Reform Commission has instructed select Chinese bankers to avoid underwriting offshore yuan notes yielding more than 4% and dollar securities yielding more than 5%, a move aimed at pulling the riskiest borrowers out of the international bond market. The targets are weaker enterprises and local government financing vehicles, including municipal borrowers shouldering more than $100 billion of overseas bond debt.</w:t>
      </w:r>
    </w:p>
    <w:p>
      <w:pPr>
        <w:pStyle w:val="BodyText"/>
      </w:pPr>
      <w:r>
        <w:t xml:space="preserve">The guidance hardens a multi-year campaign to defuse hidden local-government leverage. Regional-level state-owned enterprises must now prove profitability and a focus on their core business before winning approval for new offshore borrowing, and approval times for long-term debt quotas have doubled to between four and nine months — a bottleneck that effectively throttles new issuance.</w:t>
      </w:r>
    </w:p>
    <w:p>
      <w:pPr>
        <w:pStyle w:val="BodyText"/>
      </w:pPr>
      <w:r>
        <w:t xml:space="preserve">The clampdown lands on a market already shrinking. LGFV offshore new financing fell more than 50% year-on-year in 2025 under Beijing’s policy of curbing new debt while working down existing obligations, with dim sum bond issuance roughly halving over the same period. The yield caps squeeze the channel further, leaving the shakiest issuers — the ones forced to pay the highest coupons — with the narrowest path to refinancing maturing debt.</w:t>
      </w:r>
    </w:p>
    <w:p>
      <w:pPr>
        <w:pStyle w:val="BodyText"/>
      </w:pPr>
      <w:r>
        <w:rPr>
          <w:b/>
          <w:bCs/>
        </w:rPr>
        <w:t xml:space="preserve">References</w:t>
      </w:r>
    </w:p>
    <w:p>
      <w:pPr>
        <w:pStyle w:val="BodyText"/>
      </w:pPr>
      <w:r>
        <w:t xml:space="preserve">[9] Bloomberg. (2026, June 30). China Clamps Down on Issuance of Higher-Yielding Offshore Debt. Bloomberg. https://www.bloomberg.com/news/articles/2026-06-30/china-clamps-down-on-issuance-of-higher-yielding-offshore-debt</w:t>
      </w:r>
      <w:r>
        <w:t xml:space="preserve"> </w:t>
      </w:r>
      <w:r>
        <w:t xml:space="preserve">[10] CSPI Ratings. (2026). 2026 Outlook for LGFV Offshore Bonds — Weak Issuance, Deepened Restructuring. CSPI Ratings. https://www.cspi-ratings.com/publications/publicationsDetail/Research-Publication-2026-Outlook-for-LGFV-Offshore-BondsWeak-Issuance-Deepened-Restructuring.html</w:t>
      </w:r>
    </w:p>
    <w:p>
      <w:r>
        <w:pict>
          <v:rect style="width:0;height:1.5pt" o:hralign="center" o:hrstd="t" o:hr="t"/>
        </w:pict>
      </w:r>
    </w:p>
    <w:bookmarkEnd w:id="12"/>
    <w:bookmarkEnd w:id="13"/>
    <w:bookmarkStart w:id="14" w:name="politics-diplomacy"/>
    <w:p>
      <w:pPr>
        <w:pStyle w:val="Heading2"/>
      </w:pPr>
      <w:r>
        <w:t xml:space="preserve">2. Politics &amp; Diplomacy</w:t>
      </w:r>
    </w:p>
    <w:p>
      <w:pPr>
        <w:pStyle w:val="FirstParagraph"/>
      </w:pPr>
      <w:r>
        <w:rPr>
          <w:i/>
          <w:iCs/>
        </w:rPr>
        <w:t xml:space="preserve">Note: only 0 stories met T1-T4 standards for this category today.</w:t>
      </w:r>
    </w:p>
    <w:p>
      <w:r>
        <w:pict>
          <v:rect style="width:0;height:1.5pt" o:hralign="center" o:hrstd="t" o:hr="t"/>
        </w:pict>
      </w:r>
    </w:p>
    <w:bookmarkEnd w:id="14"/>
    <w:bookmarkStart w:id="15" w:name="technology-industry"/>
    <w:p>
      <w:pPr>
        <w:pStyle w:val="Heading2"/>
      </w:pPr>
      <w:r>
        <w:t xml:space="preserve">3. Technology &amp; Industry</w:t>
      </w:r>
    </w:p>
    <w:p>
      <w:pPr>
        <w:pStyle w:val="FirstParagraph"/>
      </w:pPr>
      <w:r>
        <w:rPr>
          <w:i/>
          <w:iCs/>
        </w:rPr>
        <w:t xml:space="preserve">Note: only 0 stories met T1-T4 standards for this category today.</w:t>
      </w:r>
    </w:p>
    <w:p>
      <w:r>
        <w:pict>
          <v:rect style="width:0;height:1.5pt" o:hralign="center" o:hrstd="t" o:hr="t"/>
        </w:pict>
      </w:r>
    </w:p>
    <w:bookmarkEnd w:id="15"/>
    <w:bookmarkStart w:id="16" w:name="society-livelihood"/>
    <w:p>
      <w:pPr>
        <w:pStyle w:val="Heading2"/>
      </w:pPr>
      <w:r>
        <w:t xml:space="preserve">4. Society &amp; Livelihood</w:t>
      </w:r>
    </w:p>
    <w:p>
      <w:pPr>
        <w:pStyle w:val="FirstParagraph"/>
      </w:pPr>
      <w:r>
        <w:rPr>
          <w:i/>
          <w:iCs/>
        </w:rPr>
        <w:t xml:space="preserve">Note: only 0 stories met T1-T4 standards for this category today.</w:t>
      </w:r>
    </w:p>
    <w:p>
      <w:r>
        <w:pict>
          <v:rect style="width:0;height:1.5pt" o:hralign="center" o:hrstd="t" o:hr="t"/>
        </w:pict>
      </w:r>
    </w:p>
    <w:bookmarkEnd w:id="16"/>
    <w:bookmarkStart w:id="17" w:name="china-nexus-finance-investment"/>
    <w:p>
      <w:pPr>
        <w:pStyle w:val="Heading2"/>
      </w:pPr>
      <w:r>
        <w:t xml:space="preserve">5. China-Nexus Finance &amp; Investment</w:t>
      </w:r>
    </w:p>
    <w:p>
      <w:pPr>
        <w:pStyle w:val="FirstParagraph"/>
      </w:pPr>
      <w:r>
        <w:rPr>
          <w:i/>
          <w:iCs/>
        </w:rPr>
        <w:t xml:space="preserve">Note: only 0 stories met T1-T4 standards for this category today.</w:t>
      </w:r>
    </w:p>
    <w:p>
      <w:r>
        <w:pict>
          <v:rect style="width:0;height:1.5pt" o:hralign="center" o:hrstd="t" o:hr="t"/>
        </w:pict>
      </w:r>
    </w:p>
    <w:bookmarkEnd w:id="17"/>
    <w:bookmarkStart w:id="21" w:name="corporate-ipo-ma"/>
    <w:p>
      <w:pPr>
        <w:pStyle w:val="Heading2"/>
      </w:pPr>
      <w:r>
        <w:t xml:space="preserve">6. Corporate IPO &amp; M&amp;A</w:t>
      </w:r>
    </w:p>
    <w:bookmarkStart w:id="18" w:name="X58432806481755ff7840bc046ad2938d3798a0e"/>
    <w:p>
      <w:pPr>
        <w:pStyle w:val="Heading3"/>
      </w:pPr>
      <w:r>
        <w:t xml:space="preserve">Laifual Drive raises about US$147M in HKEX debut as China’s No. 2 robot harmonic reducer maker</w:t>
      </w:r>
    </w:p>
    <w:p>
      <w:pPr>
        <w:pStyle w:val="FirstParagraph"/>
      </w:pPr>
      <w:r>
        <w:t xml:space="preserve">Zhejiang Laifual Drive Co., Ltd. (03952.HK) began trading on the HKEX Main Board on June 30, having offered 13.4419 million H-shares at HK$77.00–HK$85.50 per share, raising roughly HK$1.149 billion — about US$147 million at the top of the range including the greenshoe. The company is China’s No. 2 maker of harmonic reducers by shipment volume, with a 21.4% market share in 2025, and ranks No. 3 globally.</w:t>
      </w:r>
    </w:p>
    <w:p>
      <w:pPr>
        <w:pStyle w:val="BodyText"/>
      </w:pPr>
      <w:r>
        <w:t xml:space="preserve">Harmonic reducers are the precision gearing that lets a robot joint move smoothly and hold position under load — a core component in humanoid and industrial robots, and one China has long imported. Laifual builds these alongside joint modules, robotic arms, and automated workstations for humanoid robots, industrial robots, and automated production lines, placing it directly in the supply chain feeding China’s robotics push. Demand has been explosive: 2025 revenue reached 260.9 million yuan, up 142.2% year-on-year, as harmonic reducer unit sales roughly doubled.</w:t>
      </w:r>
    </w:p>
    <w:p>
      <w:pPr>
        <w:pStyle w:val="BodyText"/>
      </w:pPr>
      <w:r>
        <w:t xml:space="preserve">Proceeds go mostly to scaling output — 55% to capacity expansion, 20% to R&amp;D, 10% to strategic acquisitions, 10% to working capital, and 5% to building an overseas sales network.</w:t>
      </w:r>
    </w:p>
    <w:p>
      <w:pPr>
        <w:pStyle w:val="BodyText"/>
      </w:pPr>
      <w:r>
        <w:rPr>
          <w:b/>
          <w:bCs/>
        </w:rPr>
        <w:t xml:space="preserve">References</w:t>
      </w:r>
    </w:p>
    <w:p>
      <w:pPr>
        <w:pStyle w:val="BodyText"/>
      </w:pPr>
      <w:r>
        <w:t xml:space="preserve">[11] Gasgoo. (2026, June 22). Laifual Drive Launches IPO, Plans to List on June 30. Gasgoo. https://autonews.gasgoo.com/articles/news/laifual-drive-launches-ipo-plans-to-list-on-june-30-2069799357594185729</w:t>
      </w:r>
      <w:r>
        <w:t xml:space="preserve"> </w:t>
      </w:r>
      <w:r>
        <w:t xml:space="preserve">[12] HKEX. (2026, June 30). Newly Listed Securities. Hong Kong Exchanges and Clearing. https://www.hkex.com.hk/Services/Trading/Securities/Trading-News/Newly-Listed-Securities?sc_lang=en</w:t>
      </w:r>
    </w:p>
    <w:p>
      <w:r>
        <w:pict>
          <v:rect style="width:0;height:1.5pt" o:hralign="center" o:hrstd="t" o:hr="t"/>
        </w:pict>
      </w:r>
    </w:p>
    <w:bookmarkEnd w:id="18"/>
    <w:bookmarkStart w:id="19" w:name="X987a7b03221cb542222c17bcf1630dbf24b7e25"/>
    <w:p>
      <w:pPr>
        <w:pStyle w:val="Heading3"/>
      </w:pPr>
      <w:r>
        <w:t xml:space="preserve">TH Medical raises about US$62M in HKEX debut on the strength of an AI-based puncture surgical robot</w:t>
      </w:r>
    </w:p>
    <w:p>
      <w:pPr>
        <w:pStyle w:val="FirstParagraph"/>
      </w:pPr>
      <w:r>
        <w:t xml:space="preserve">Guangdong True Health Medical Technology Development Co., Ltd. (02697.HK) began trading on the HKEX Main Board on June 30, offering 3.56 million H-shares at HK$119.30–HK$135.60 per share and raising up to about HK$482.7 million, or roughly US$62 million. Its core product is an AI-based percutaneous puncture surgical robot — sold across the TH-S1, TH-S, TH-S Pro, and TH-SA models — that guides needles through the skin for minimally invasive procedures such as biopsies and ablations.</w:t>
      </w:r>
    </w:p>
    <w:p>
      <w:pPr>
        <w:pStyle w:val="BodyText"/>
      </w:pPr>
      <w:r>
        <w:t xml:space="preserve">The listing rides a fast-expanding domestic market. The global surgical robots market is expected to reach US$33.6 billion in 2026, with China accounting for US$3.8 billion — an 11% global share, up from 5% in 2020 as Chinese hospitals adopt the technology and homegrown makers undercut incumbents on price. Proceeds go primarily to R&amp;D and commercialisation.</w:t>
      </w:r>
    </w:p>
    <w:p>
      <w:pPr>
        <w:pStyle w:val="BodyText"/>
      </w:pPr>
      <w:r>
        <w:rPr>
          <w:b/>
          <w:bCs/>
        </w:rPr>
        <w:t xml:space="preserve">References</w:t>
      </w:r>
    </w:p>
    <w:p>
      <w:pPr>
        <w:pStyle w:val="BodyText"/>
      </w:pPr>
      <w:r>
        <w:t xml:space="preserve">[13] HKEX. (2026, June 30). Newly Listed Securities. Hong Kong Exchanges and Clearing. https://www.hkex.com.hk/Services/Trading/Securities/Trading-News/Newly-Listed-Securities?sc_lang=en</w:t>
      </w:r>
      <w:r>
        <w:t xml:space="preserve"> </w:t>
      </w:r>
      <w:r>
        <w:t xml:space="preserve">[14] Finimize. (2026, June 22). Surgical Robotics Maker True Health Kicks Off Hong Kong IPO. Finimize. https://finimize.com/content/surgical-robotics-maker-true-health-kicks-off-hong-kong-ipo</w:t>
      </w:r>
    </w:p>
    <w:p>
      <w:r>
        <w:pict>
          <v:rect style="width:0;height:1.5pt" o:hralign="center" o:hrstd="t" o:hr="t"/>
        </w:pict>
      </w:r>
    </w:p>
    <w:bookmarkEnd w:id="19"/>
    <w:bookmarkStart w:id="20" w:name="Xe6d973022c3aa897d750e0edea03b11922f3c77"/>
    <w:p>
      <w:pPr>
        <w:pStyle w:val="Heading3"/>
      </w:pPr>
      <w:r>
        <w:t xml:space="preserve">Jiangxi Institute of Biological Products raises about US$60M in HKEX debut, holding 65.8% of China’s tetanus antitoxin market</w:t>
      </w:r>
    </w:p>
    <w:p>
      <w:pPr>
        <w:pStyle w:val="FirstParagraph"/>
      </w:pPr>
      <w:r>
        <w:t xml:space="preserve">Jiangxi Institute of Biological Products Inc. (06915.HK) began trading on the HKEX Main Board on June 30, offering 36.23 million H-shares at HK$9.33–HK$13.06 per share with a 15% greenshoe, raising up to about HK$473 million, or roughly US$60 million. Its core product is human tetanus antitoxin, an emergency anti-infective, and the company commands 65.8% of the Chinese market and 45.8% of the global market.</w:t>
      </w:r>
    </w:p>
    <w:p>
      <w:pPr>
        <w:pStyle w:val="BodyText"/>
      </w:pPr>
      <w:r>
        <w:t xml:space="preserve">The financials show a small but profitable niche leader. Revenue grew from 198 million yuan in 2023 to 235 million yuan in 2025, while net profit climbed from 55.5 million yuan to 94.8 million yuan over the same span. The company warns of a sharp profit decline in the current year, a caution that tempers the dominant market-share story for incoming shareholders.</w:t>
      </w:r>
    </w:p>
    <w:p>
      <w:pPr>
        <w:pStyle w:val="BodyText"/>
      </w:pPr>
      <w:r>
        <w:rPr>
          <w:b/>
          <w:bCs/>
        </w:rPr>
        <w:t xml:space="preserve">References</w:t>
      </w:r>
    </w:p>
    <w:p>
      <w:pPr>
        <w:pStyle w:val="BodyText"/>
      </w:pPr>
      <w:r>
        <w:t xml:space="preserve">[15] HKEX. (2026, June 30). Newly Listed Securities. Hong Kong Exchanges and Clearing. https://www.hkex.com.hk/Services/Trading/Securities/Trading-News/Newly-Listed-Securities?sc_lang=en</w:t>
      </w:r>
      <w:r>
        <w:t xml:space="preserve"> </w:t>
      </w:r>
      <w:r>
        <w:t xml:space="preserve">[16] The Bamboo Works. (2026, June 24). Jiangxi Bio launches $60 million IPO, warns of sharp profit decline this year. The Bamboo Works. https://thebambooworks.com/jiangxi-bio-launches-60-million-ipo-warns-of-sharp-profit-decline-this-year/</w:t>
      </w:r>
    </w:p>
    <w:p>
      <w:r>
        <w:pict>
          <v:rect style="width:0;height:1.5pt" o:hralign="center" o:hrstd="t" o:hr="t"/>
        </w:pict>
      </w:r>
    </w:p>
    <w:bookmarkEnd w:id="20"/>
    <w:bookmarkEnd w:id="21"/>
    <w:bookmarkStart w:id="23" w:name="other-notable-events"/>
    <w:p>
      <w:pPr>
        <w:pStyle w:val="Heading2"/>
      </w:pPr>
      <w:r>
        <w:t xml:space="preserve">7. Other Notable Events</w:t>
      </w:r>
    </w:p>
    <w:bookmarkStart w:id="22" w:name="Xe0a54488503e1f5874e6350611482e2944faccc"/>
    <w:p>
      <w:pPr>
        <w:pStyle w:val="Heading3"/>
      </w:pPr>
      <w:r>
        <w:t xml:space="preserve">Chinese billionaire Guo Wengui sentenced to 30 years in US prison for $889M fraud targeting 1,000+ investors</w:t>
      </w:r>
    </w:p>
    <w:p>
      <w:pPr>
        <w:pStyle w:val="FirstParagraph"/>
      </w:pPr>
      <w:r>
        <w:t xml:space="preserve">Guo Wengui — also known as Ho Wan Kwok and Miles Guo — was sentenced on June 30, 2026 in Manhattan federal court to 30 years in prison for a fraud that defrauded more than 1,000 people worldwide of hundreds of millions of dollars. Judge Analisa Torres presided and ordered Guo to forfeit $889 million. Prosecutors called the scheme, which ran from 2018 to 2023, astonishing.</w:t>
      </w:r>
    </w:p>
    <w:p>
      <w:pPr>
        <w:pStyle w:val="BodyText"/>
      </w:pPr>
      <w:r>
        <w:t xml:space="preserve">Guo fled China a decade ago and reinvented himself in the United States as a high-profile critic of the Chinese Communist Party, building a following among exiles. He funnelled their money through entities he controlled — including the media venture GTV Media Group and the Himalaya Exchange — convincing followers they were funding a movement to bring democracy to China while, prosecutors said, he spent the proceeds on a lavish lifestyle. A jury convicted him of fraud, securities offences, wire fraud, and money laundering in 2024 after the FBI arrested him in his Manhattan apartment overlooking Central Park.</w:t>
      </w:r>
    </w:p>
    <w:p>
      <w:pPr>
        <w:pStyle w:val="BodyText"/>
      </w:pPr>
      <w:r>
        <w:rPr>
          <w:b/>
          <w:bCs/>
        </w:rPr>
        <w:t xml:space="preserve">References</w:t>
      </w:r>
    </w:p>
    <w:p>
      <w:pPr>
        <w:pStyle w:val="BodyText"/>
      </w:pPr>
      <w:r>
        <w:t xml:space="preserve">[17] Al Jazeera. (2026, June 30). Chinese billionaire Guo Wengui gets 30 years in US prison for huge fraud. Al Jazeera. https://www.aljazeera.com/amp/news/2026/6/30/chinese-billionaire-guo-wengui-gets-30-years-in-us-prison-for-huge-fraud</w:t>
      </w:r>
    </w:p>
    <w:p>
      <w:r>
        <w:pict>
          <v:rect style="width:0;height:1.5pt" o:hralign="center" o:hrstd="t" o:hr="t"/>
        </w:pict>
      </w:r>
    </w:p>
    <w:p>
      <w:pPr>
        <w:pStyle w:val="FirstParagraph"/>
      </w:pPr>
      <w:r>
        <w:rPr>
          <w:i/>
          <w:iCs/>
        </w:rPr>
        <w:t xml:space="preserve">Note: only 1 story met T1-T4 standards for this category today.</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2026-06-30T09:09:43Z</dcterms:created>
  <dcterms:modified xsi:type="dcterms:W3CDTF">2026-06-30T09:09:43Z</dcterms:modified>
</cp:coreProperties>
</file>

<file path=docProps/custom.xml><?xml version="1.0" encoding="utf-8"?>
<Properties xmlns="http://schemas.openxmlformats.org/officeDocument/2006/custom-properties" xmlns:vt="http://schemas.openxmlformats.org/officeDocument/2006/docPropsVTypes"/>
</file>