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1f7cdd14df6f5af544d8710872d56924d33fb91"/>
    <w:p>
      <w:pPr>
        <w:pStyle w:val="Heading1"/>
      </w:pPr>
      <w:r>
        <w:t xml:space="preserve">United Kingdom Daily News Intelligence — June 24, 2026</w:t>
      </w:r>
    </w:p>
    <w:bookmarkStart w:id="11" w:name="economy-markets"/>
    <w:p>
      <w:pPr>
        <w:pStyle w:val="Heading2"/>
      </w:pPr>
      <w:r>
        <w:t xml:space="preserve">1. Economy &amp; Markets</w:t>
      </w:r>
    </w:p>
    <w:bookmarkStart w:id="9" w:name="X46eb8b611f2a5ac20007516be6b1eefa0673ac2"/>
    <w:p>
      <w:pPr>
        <w:pStyle w:val="Heading3"/>
      </w:pPr>
      <w:r>
        <w:t xml:space="preserve">UK Pound Slides to 1.3195 Against Dollar as Flash PMI Hits 14-Month Low Amid Political Transition</w:t>
      </w:r>
    </w:p>
    <w:p>
      <w:pPr>
        <w:pStyle w:val="FirstParagraph"/>
      </w:pPr>
      <w:r>
        <w:t xml:space="preserve">Sterling traded at 1.3195 against the dollar in early European dealings on June 24, with selling pressure persisting below the 1.3200 level. The pound was squeezed from two directions at once. At home, the UK’s flash S&amp;P Global Composite PMI for June fell to 49.4, a 14-month low and down from 49.7 in May, marking a second straight month of private-sector contraction as services activity weakened. Manufacturing softened too, with the PMI easing to 53.1 from 53.9. The 50 line separates growth from contraction, so a sub-50 composite reading signals the broader economy is shrinking.</w:t>
      </w:r>
    </w:p>
    <w:p>
      <w:pPr>
        <w:pStyle w:val="BodyText"/>
      </w:pPr>
      <w:r>
        <w:t xml:space="preserve">Abroad, the dollar drew strength from a hawkish Federal Reserve. The market-implied probability of a December rate hike jumped to 86.1%, up from 61% before the latest FOMC meeting.</w:t>
      </w:r>
      <w:r>
        <w:t xml:space="preserve"> </w:t>
      </w:r>
      <w:r>
        <w:t xml:space="preserve">“The dollar’s strength right now, at the end of the day, it’s still hawkishness,”</w:t>
      </w:r>
      <w:r>
        <w:t xml:space="preserve"> </w:t>
      </w:r>
      <w:r>
        <w:t xml:space="preserve">said Eugene Epstein, Head of Trading and Structured Products at Moneycorp.</w:t>
      </w:r>
    </w:p>
    <w:p>
      <w:pPr>
        <w:pStyle w:val="BodyText"/>
      </w:pPr>
      <w:r>
        <w:t xml:space="preserve">Layered on top is acute political uncertainty. Prime Minister Keir Starmer resigned on 22 June, following Andy Burnham’s victory in the Makerfield by-election that returned him to Parliament. Traders are now scrutinising what a Burnham-led government would mean for the public finances.</w:t>
      </w:r>
      <w:r>
        <w:t xml:space="preserve"> </w:t>
      </w:r>
      <w:r>
        <w:t xml:space="preserve">“Markets will be focused on Burnham’s views on fiscal policy and whether there will be any relaxation of the current fiscal rules. A loosening in fiscal rules would likely be poorly received by the UK bond market,”</w:t>
      </w:r>
      <w:r>
        <w:t xml:space="preserve"> </w:t>
      </w:r>
      <w:r>
        <w:t xml:space="preserve">said Commonwealth Bank of Australia strategist Kristina Clifton.</w:t>
      </w:r>
    </w:p>
    <w:p>
      <w:pPr>
        <w:pStyle w:val="BodyText"/>
      </w:pPr>
      <w:r>
        <w:rPr>
          <w:b/>
          <w:bCs/>
        </w:rPr>
        <w:t xml:space="preserve">References</w:t>
      </w:r>
    </w:p>
    <w:p>
      <w:pPr>
        <w:pStyle w:val="BodyText"/>
      </w:pPr>
      <w:r>
        <w:t xml:space="preserve">[1] Tradingpedia. (2026, June 24). Pound slides as UK turmoil and weak data hit GBP/USD. Tradingpedia. https://www.tradingpedia.com/2026/06/24/pound-slides-as-uk-turmoil-and-weak-data-hit-gbp-usd/</w:t>
      </w:r>
    </w:p>
    <w:p>
      <w:r>
        <w:pict>
          <v:rect style="width:0;height:1.5pt" o:hralign="center" o:hrstd="t" o:hr="t"/>
        </w:pict>
      </w:r>
    </w:p>
    <w:bookmarkEnd w:id="9"/>
    <w:bookmarkStart w:id="10" w:name="X3ec5e90b50046515381cf98db2d32f153d4c1db"/>
    <w:p>
      <w:pPr>
        <w:pStyle w:val="Heading3"/>
      </w:pPr>
      <w:r>
        <w:t xml:space="preserve">UK Equities Trade Mixed as Global Tech Selloff and Soft PMI Weigh on FTSE 100 and FTSE 250</w:t>
      </w:r>
    </w:p>
    <w:p>
      <w:pPr>
        <w:pStyle w:val="FirstParagraph"/>
      </w:pPr>
      <w:r>
        <w:t xml:space="preserve">London’s blue chips drifted lower on June 24, with the FTSE 100 down 0.35% at 10,363.27 as a global technology selloff rippled through risk assets. The mid-cap FTSE 250, more closely tied to the domestic economy, fell harder, dropping 0.56% to 23,200.73, while the broad FTSE All-Share slipped 0.21% to 5,599.56. The wider FTSE 350 held marginally positive around 5,663, leaving the session genuinely split between winners and losers rather than a uniform retreat.</w:t>
      </w:r>
    </w:p>
    <w:p>
      <w:pPr>
        <w:pStyle w:val="BodyText"/>
      </w:pPr>
      <w:r>
        <w:t xml:space="preserve">The day’s standout gainer was distribution group Bunzl PLC, which jumped 5.60%. At the opposite extreme, Caledonian Holdings PLC collapsed 37.55%. The mixed tape reflected a confluence of pressures: soft UK economic data in the form of the flash composite PMI at 49.4, weakness in technology shares spilling over from US markets, and lingering geopolitical tension. Real-estate names were among the day’s movers, with industrial landlord SEGRO surging after disclosing and rejecting a takeover approach. Defensive and income-oriented stocks provided some ballast even as growth-sensitive sectors sagged.</w:t>
      </w:r>
    </w:p>
    <w:p>
      <w:pPr>
        <w:pStyle w:val="BodyText"/>
      </w:pPr>
      <w:r>
        <w:rPr>
          <w:b/>
          <w:bCs/>
        </w:rPr>
        <w:t xml:space="preserve">References</w:t>
      </w:r>
    </w:p>
    <w:p>
      <w:pPr>
        <w:pStyle w:val="BodyText"/>
      </w:pPr>
      <w:r>
        <w:t xml:space="preserve">[2] Sunday Guardian Live. (2026, June 24). UK stock market today: FTSE 100, FTSE 250 and FTSE 350 trading mixed as global tech selloff. Sunday Guardian Live. https://sundayguardianlive.com/business/uk-stock-market-today-ftse-100-ftse-250-and-ftse-350-trading-mixed-as-global-tech-selloff-what-investors-should-watch-212432/</w:t>
      </w:r>
    </w:p>
    <w:p>
      <w:pPr>
        <w:pStyle w:val="BodyText"/>
      </w:pPr>
      <w:r>
        <w:t xml:space="preserve">[3] QuotedData. (2026, June 24). SEGRO soars as Prologis of US launches</w:t>
      </w:r>
      <w:r>
        <w:t xml:space="preserve"> </w:t>
      </w:r>
      <w:r>
        <w:t xml:space="preserve">“compelling”</w:t>
      </w:r>
      <w:r>
        <w:t xml:space="preserve"> </w:t>
      </w:r>
      <w:r>
        <w:t xml:space="preserve">£12.6bn all-share bid. QuotedData. https://quoteddata.com/2026/06/prologis-of-us-launches-12-6bn-all-share-bid-for-segro/</w:t>
      </w:r>
    </w:p>
    <w:p>
      <w:r>
        <w:pict>
          <v:rect style="width:0;height:1.5pt" o:hralign="center" o:hrstd="t" o:hr="t"/>
        </w:pict>
      </w:r>
    </w:p>
    <w:p>
      <w:pPr>
        <w:pStyle w:val="FirstParagraph"/>
      </w:pPr>
      <w:r>
        <w:rPr>
          <w:i/>
          <w:iCs/>
        </w:rPr>
        <w:t xml:space="preserve">Note: only 2 stories met T1-T4 standards for this category today.</w:t>
      </w:r>
    </w:p>
    <w:bookmarkEnd w:id="10"/>
    <w:bookmarkEnd w:id="11"/>
    <w:bookmarkStart w:id="13" w:name="politics-diplomacy"/>
    <w:p>
      <w:pPr>
        <w:pStyle w:val="Heading2"/>
      </w:pPr>
      <w:r>
        <w:t xml:space="preserve">2. Politics &amp; Diplomacy</w:t>
      </w:r>
    </w:p>
    <w:bookmarkStart w:id="12" w:name="Xa8267e844a789fa79fe451127dfc8242fa783eb"/>
    <w:p>
      <w:pPr>
        <w:pStyle w:val="Heading3"/>
      </w:pPr>
      <w:r>
        <w:t xml:space="preserve">Andy Burnham Frontrunner for UK Prime Minister as Labour Leadership Race Opens After Starmer Resignation</w:t>
      </w:r>
    </w:p>
    <w:p>
      <w:pPr>
        <w:pStyle w:val="FirstParagraph"/>
      </w:pPr>
      <w:r>
        <w:t xml:space="preserve">Andy Burnham is the frontrunner to become the UK’s next prime minister, following Keir Starmer’s resignation announcement on 22 June 2026. Mayor of Greater Manchester since 2017, Burnham has built his pitch around what he calls</w:t>
      </w:r>
      <w:r>
        <w:t xml:space="preserve"> </w:t>
      </w:r>
      <w:r>
        <w:t xml:space="preserve">“Manchesterism”</w:t>
      </w:r>
      <w:r>
        <w:t xml:space="preserve"> </w:t>
      </w:r>
      <w:r>
        <w:t xml:space="preserve">— a devolution-driven model that prizes long-term planning and local control over Whitehall centralisation, exemplified by initiatives such as the publicly controlled Bee Network bus system. He casts it as a</w:t>
      </w:r>
      <w:r>
        <w:t xml:space="preserve"> </w:t>
      </w:r>
      <w:r>
        <w:t xml:space="preserve">“modern and functional response”</w:t>
      </w:r>
      <w:r>
        <w:t xml:space="preserve"> </w:t>
      </w:r>
      <w:r>
        <w:t xml:space="preserve">to the low-growth trap left by decades of overcentralised Treasury power.</w:t>
      </w:r>
    </w:p>
    <w:p>
      <w:pPr>
        <w:pStyle w:val="BodyText"/>
      </w:pPr>
      <w:r>
        <w:t xml:space="preserve">The path is unusually clear. Wes Streeting, previously seen as his main rival, endorsed him on 22 June. Senior cabinet figures lined up behind Burnham as of 23 June, including Deputy PM David Lammy, Education Secretary Bridget Phillipson and Scotland Secretary Douglas Alexander. Under Labour rules a candidate needs the support of at least 81 MPs — 20% of the parliamentary party — to stand, a threshold that caps the field at five contenders. Nominations open 9 July and close 16 July. If unopposed, Burnham could become prime minister by 17 July; if a contest occurs, the result would land by 1 September.</w:t>
      </w:r>
    </w:p>
    <w:p>
      <w:pPr>
        <w:pStyle w:val="BodyText"/>
      </w:pPr>
      <w:r>
        <w:t xml:space="preserve">A Bloomberg Opinion piece published 24 June pressed a sceptical case against scaling up his record nationally, arguing that Greater Manchester’s outperformance against the national average is partly an artefact of administrative boundaries — flattering metrics that capture a prosperous core — rather than a blueprint readily transferable to the whole country.</w:t>
      </w:r>
    </w:p>
    <w:p>
      <w:pPr>
        <w:pStyle w:val="BodyText"/>
      </w:pPr>
      <w:r>
        <w:rPr>
          <w:b/>
          <w:bCs/>
        </w:rPr>
        <w:t xml:space="preserve">References</w:t>
      </w:r>
    </w:p>
    <w:p>
      <w:pPr>
        <w:pStyle w:val="BodyText"/>
      </w:pPr>
      <w:r>
        <w:t xml:space="preserve">[4] Bloomberg Opinion. (2026, June 24). Andy Burnham’s Manchester plan has an obvious flaw. Bloomberg. https://www.bloomberg.com/opinion/articles/2026-06-24/uk-politics-andy-burnham-manchester-plan-has-an-obvious-flaw</w:t>
      </w:r>
    </w:p>
    <w:p>
      <w:pPr>
        <w:pStyle w:val="BodyText"/>
      </w:pPr>
      <w:r>
        <w:t xml:space="preserve">[5] PBS NewsHour. (2026, June 24). Andy Burnham prepares for a UK Labour leadership contest that may be a coronation. PBS. https://www.pbs.org/newshour/world/andy-burnham-prepares-for-a-uk-labour-leadership-contest-that-may-be-a-coronation</w:t>
      </w:r>
    </w:p>
    <w:p>
      <w:pPr>
        <w:pStyle w:val="BodyText"/>
      </w:pPr>
      <w:r>
        <w:t xml:space="preserve">[6] Institute for Government. (2026, June 24). How do Labour Party leadership contests work? Institute for Government. https://www.instituteforgovernment.org.uk/explainer/labour-party-leadership-contests</w:t>
      </w:r>
    </w:p>
    <w:p>
      <w:pPr>
        <w:pStyle w:val="BodyText"/>
      </w:pPr>
      <w:r>
        <w:t xml:space="preserve">[7] Centre for Cities. (2026, June 24). Manchesterism from devolution. Centre for Cities. https://www.centreforcities.org/blog/manchesterism-from-devolution/</w:t>
      </w:r>
    </w:p>
    <w:p>
      <w:r>
        <w:pict>
          <v:rect style="width:0;height:1.5pt" o:hralign="center" o:hrstd="t" o:hr="t"/>
        </w:pict>
      </w:r>
    </w:p>
    <w:p>
      <w:pPr>
        <w:pStyle w:val="FirstParagraph"/>
      </w:pPr>
      <w:r>
        <w:rPr>
          <w:i/>
          <w:iCs/>
        </w:rPr>
        <w:t xml:space="preserve">Note: only 1 story met T1-T4 standards for this category today.</w:t>
      </w:r>
    </w:p>
    <w:bookmarkEnd w:id="12"/>
    <w:bookmarkEnd w:id="13"/>
    <w:bookmarkStart w:id="14" w:name="technology-industry"/>
    <w:p>
      <w:pPr>
        <w:pStyle w:val="Heading2"/>
      </w:pPr>
      <w:r>
        <w:t xml:space="preserve">3. Technology &amp; Industry</w:t>
      </w:r>
    </w:p>
    <w:p>
      <w:pPr>
        <w:pStyle w:val="FirstParagraph"/>
      </w:pPr>
      <w:r>
        <w:rPr>
          <w:i/>
          <w:iCs/>
        </w:rPr>
        <w:t xml:space="preserve">Note: only 0 stories met T1-T4 standards for this category today.</w:t>
      </w:r>
    </w:p>
    <w:p>
      <w:r>
        <w:pict>
          <v:rect style="width:0;height:1.5pt" o:hralign="center" o:hrstd="t" o:hr="t"/>
        </w:pict>
      </w:r>
    </w:p>
    <w:bookmarkEnd w:id="14"/>
    <w:bookmarkStart w:id="18" w:name="society-livelihood"/>
    <w:p>
      <w:pPr>
        <w:pStyle w:val="Heading2"/>
      </w:pPr>
      <w:r>
        <w:t xml:space="preserve">4. Society &amp; Livelihood</w:t>
      </w:r>
    </w:p>
    <w:bookmarkStart w:id="15" w:name="X2962f170e236a6128dee7ae3d9b5f5828083fab"/>
    <w:p>
      <w:pPr>
        <w:pStyle w:val="Heading3"/>
      </w:pPr>
      <w:r>
        <w:t xml:space="preserve">UK Met Office Issues Only Second-Ever Red Extreme Heat Warning as June Records Forecast to Break</w:t>
      </w:r>
    </w:p>
    <w:p>
      <w:pPr>
        <w:pStyle w:val="FirstParagraph"/>
      </w:pPr>
      <w:r>
        <w:t xml:space="preserve">The Met Office issued a Red Extreme Heat Warning for England and Wales on 24 June 2026 — only the second in its history, the first having been issued in July 2022 when temperatures exceeded 40°C. The warning is in force from 09:00 Wednesday 24 June through 21:00 Thursday 25 June, covering six regions: the West Midlands, East Midlands, South East, South West, London and the East of England, with amber alerts extended across the North West, North East, and Yorkshire and the Humber. Peak temperatures are forecast at 37°C on Wednesday and 38°C on Thursday and Friday.</w:t>
      </w:r>
    </w:p>
    <w:p>
      <w:pPr>
        <w:pStyle w:val="BodyText"/>
      </w:pPr>
      <w:r>
        <w:t xml:space="preserve">Records are set to topple. The UK’s all-time June record of 35.6°C — set in Southampton in 1976 and at Camden Square in 1957 — is very likely to be exceeded, while Wales’s June record of 33.7°C, set in 2000, is also forecast to break; Wales already recorded 20.3°C overnight on Monday, with dew points reaching roughly 22°C making the air feel oppressively humid.</w:t>
      </w:r>
      <w:r>
        <w:t xml:space="preserve"> </w:t>
      </w:r>
      <w:r>
        <w:t xml:space="preserve">“Red warnings are reserved for the most severe events and we’re expecting severe and significant impacts from this heatwave, with health impacts likely for many, even beyond those who are normally more vulnerable to the heat,”</w:t>
      </w:r>
      <w:r>
        <w:t xml:space="preserve"> </w:t>
      </w:r>
      <w:r>
        <w:t xml:space="preserve">said Met Office Deputy Chief Forecaster Mark Sidaway. Chief Scientist Stephen Belcher added:</w:t>
      </w:r>
      <w:r>
        <w:t xml:space="preserve"> </w:t>
      </w:r>
      <w:r>
        <w:t xml:space="preserve">“Human induced climate change has made events like this more likely and more intense.”</w:t>
      </w:r>
    </w:p>
    <w:p>
      <w:pPr>
        <w:pStyle w:val="BodyText"/>
      </w:pPr>
      <w:r>
        <w:t xml:space="preserve">Disruption is already widespread. Over 850 schools across England and Wales closed or finished early, Eurostar cancelled four London-Paris trains, Chiltern Railways axed more than half its services, and the British Army cancelled the Changing of the Guard at Buckingham Palace. The UKHSA issued a corresponding red heat-health alert.</w:t>
      </w:r>
      <w:r>
        <w:t xml:space="preserve"> </w:t>
      </w:r>
      <w:r>
        <w:t xml:space="preserve">“A red heat health alert indicates a risk to life for even the healthy population, but simple actions like staying hydrated, avoiding the sun during the hottest part of the day, and keeping your home cool can make a big difference,”</w:t>
      </w:r>
      <w:r>
        <w:t xml:space="preserve"> </w:t>
      </w:r>
      <w:r>
        <w:t xml:space="preserve">said Dr Agostinho Sousa, UKHSA Head of Extreme Events. A Yellow Thunderstorm Warning follows Thursday evening with gusts potentially reaching 50 mph. The same heat dome pushed France to its hottest-ever national day and knocked out power to tens of thousands of homes in the country’s west, with conditions expected to ease in Britain by Friday.</w:t>
      </w:r>
    </w:p>
    <w:p>
      <w:pPr>
        <w:pStyle w:val="BodyText"/>
      </w:pPr>
      <w:r>
        <w:rPr>
          <w:b/>
          <w:bCs/>
        </w:rPr>
        <w:t xml:space="preserve">References</w:t>
      </w:r>
    </w:p>
    <w:p>
      <w:pPr>
        <w:pStyle w:val="BodyText"/>
      </w:pPr>
      <w:r>
        <w:t xml:space="preserve">[8] Met Office. (2026, June 24). Red Extreme Heat Warning in force as record-breaking June temperatures forecast. Met Office. https://www.metoffice.gov.uk/about-us/news-and-media/media-centre/weather-and-climate-news/2026/red-extreme-heat-warning-in-force-as-record-breaking-june-temperatures-forecast-</w:t>
      </w:r>
    </w:p>
    <w:p>
      <w:pPr>
        <w:pStyle w:val="BodyText"/>
      </w:pPr>
      <w:r>
        <w:t xml:space="preserve">[9] Al Jazeera. (2026, June 24). Power outages in France as Europe bakes in record heat. Al Jazeera. https://www.aljazeera.com/news/2026/6/24/power-outage-in-france-as-europe-bakes-in-record-heat</w:t>
      </w:r>
    </w:p>
    <w:p>
      <w:pPr>
        <w:pStyle w:val="BodyText"/>
      </w:pPr>
      <w:r>
        <w:t xml:space="preserve">[10] UK Health Security Agency. (2026, June 24). UKHSA issues red heat-health alerts across England. GOV.UK. https://www.gov.uk/government/news/ukhsa-issues-red-heat-health-alerts-across-england</w:t>
      </w:r>
    </w:p>
    <w:p>
      <w:pPr>
        <w:pStyle w:val="BodyText"/>
      </w:pPr>
      <w:r>
        <w:t xml:space="preserve">[11] GB News. (2026, June 24). UK heatwave: Britain shuts schools, trains cancelled. GB News. https://www.gbnews.com/weather/uk-heatwave-britain-shuts-schools-close-trains-cancelled</w:t>
      </w:r>
    </w:p>
    <w:p>
      <w:pPr>
        <w:pStyle w:val="BodyText"/>
      </w:pPr>
      <w:r>
        <w:t xml:space="preserve">[12] France 24. (2026, June 24). France outage leaves 68,000 homes without power as record heatwave spreads north. France 24. https://www.france24.com/en/europe/20260624-france-outage-leaves-68000-homes-without-power-record-heatwave-spreads-north-brittany</w:t>
      </w:r>
    </w:p>
    <w:p>
      <w:r>
        <w:pict>
          <v:rect style="width:0;height:1.5pt" o:hralign="center" o:hrstd="t" o:hr="t"/>
        </w:pict>
      </w:r>
    </w:p>
    <w:bookmarkEnd w:id="15"/>
    <w:bookmarkStart w:id="16" w:name="Xe119e18b96d115d82d77df2628c97745132970f"/>
    <w:p>
      <w:pPr>
        <w:pStyle w:val="Heading3"/>
      </w:pPr>
      <w:r>
        <w:t xml:space="preserve">Climate Change Committee Lays 2026 Emissions Progress Report Before Parliament, UK Still 64 MtCO₂e Short of 2030 Target</w:t>
      </w:r>
    </w:p>
    <w:p>
      <w:pPr>
        <w:pStyle w:val="FirstParagraph"/>
      </w:pPr>
      <w:r>
        <w:t xml:space="preserve">UK greenhouse gas emissions reached 407 MtCO₂e in 2025, representing a 50% reduction below 1990 levels — the first time the halfway milestone has been crossed — according to the Climate Change Committee’s statutory annual progress report, laid before Parliament on 24 June 2026 as required under the Climate Change Act 2008. Emissions fell 1.8% year-on-year, down 7.3 MtCO₂e from 2024.</w:t>
      </w:r>
    </w:p>
    <w:p>
      <w:pPr>
        <w:pStyle w:val="BodyText"/>
      </w:pPr>
      <w:r>
        <w:t xml:space="preserve">The picture is one of progress shadowed by a widening shortfall. The Fourth Carbon Budget, covering 2023 to 2027, is now highly likely to be achieved. But the current pathway falls short of the UK’s 2030 Nationally Determined Contribution by approximately 64 MtCO₂e — a gap 11 MtCO₂e larger than noted in last year’s assessment, implying the pace of cuts now needs to almost double. Bright spots cluster in transport and heating: electric vehicles on the road surpassed 2 million for the first time as of April 2026, EVs were 24% of new car sales in 2025, and heat pump installations reached 52,000 units. The report, prepared by CCC staff including Emma Pinchbeck, James Richardson, Emily Nurse, Eoin Devane, Esther Harris and Sam Karslake with expert advisor Professor Rebecca Willis, notes the UK accounts for less than 1% of global emissions. The deadline for legislating the Seventh Carbon Budget is 30 June 2026.</w:t>
      </w:r>
    </w:p>
    <w:p>
      <w:pPr>
        <w:pStyle w:val="BodyText"/>
      </w:pPr>
      <w:r>
        <w:rPr>
          <w:b/>
          <w:bCs/>
        </w:rPr>
        <w:t xml:space="preserve">References</w:t>
      </w:r>
    </w:p>
    <w:p>
      <w:pPr>
        <w:pStyle w:val="BodyText"/>
      </w:pPr>
      <w:r>
        <w:t xml:space="preserve">[13] Climate Change Committee. (2026, June 24). Progress in reducing emissions: 2026 report to Parliament. Climate Change Committee. https://www.theccc.org.uk/publication/progress-in-reducing-emissions-2026-report-to-parliament/</w:t>
      </w:r>
    </w:p>
    <w:p>
      <w:pPr>
        <w:pStyle w:val="BodyText"/>
      </w:pPr>
      <w:r>
        <w:t xml:space="preserve">[14] House of Commons Library. (2026, June 11). The UK’s carbon budgets and net zero target. UK Parliament. https://researchbriefings.files.parliament.uk/documents/CBP-9888/CBP-9888.pdf</w:t>
      </w:r>
    </w:p>
    <w:p>
      <w:r>
        <w:pict>
          <v:rect style="width:0;height:1.5pt" o:hralign="center" o:hrstd="t" o:hr="t"/>
        </w:pict>
      </w:r>
    </w:p>
    <w:bookmarkEnd w:id="16"/>
    <w:bookmarkStart w:id="17" w:name="X374623e080590cc84176f075d72109c36b90703"/>
    <w:p>
      <w:pPr>
        <w:pStyle w:val="Heading3"/>
      </w:pPr>
      <w:r>
        <w:t xml:space="preserve">London Climate Action Week Day 2 Launches Global Urban Data Centres Pact and $45 Million Clean Air Push</w:t>
      </w:r>
    </w:p>
    <w:p>
      <w:pPr>
        <w:pStyle w:val="FirstParagraph"/>
      </w:pPr>
      <w:r>
        <w:t xml:space="preserve">The second day of London Climate Action Week on 24 June 2026 saw Lord Mayor of Melbourne Nick Reece and Mayor of Phoenix Kate Gallego launch the Global Urban Data Centres Pact, a response to surging power and water demand from computing infrastructure across a C40 network that globally encompasses over 1,700 data centres. Bloomberg Philanthropies allocated $45 million for clean air initiatives, with nearly 1,200 air quality sensors deployed across the Breathe Cities programme, now expanded to 16 cities across five continents and underpinning 25 local clean air policies.</w:t>
      </w:r>
    </w:p>
    <w:p>
      <w:pPr>
        <w:pStyle w:val="BodyText"/>
      </w:pPr>
      <w:r>
        <w:t xml:space="preserve">Mayors brought receipts. Medellín Mayor Federico Gutiérrez cited temperature reductions of 2 to 4 degrees achieved through green infrastructure since 2016, while the Laneshift programme projects emissions reduction potential of 31,007 tonnes with over 300 electric vehicles already deployed.</w:t>
      </w:r>
      <w:r>
        <w:t xml:space="preserve"> </w:t>
      </w:r>
      <w:r>
        <w:t xml:space="preserve">“Today’s investment is proof that local leadership, backed by global support, can drive change at scale that matters,”</w:t>
      </w:r>
      <w:r>
        <w:t xml:space="preserve"> </w:t>
      </w:r>
      <w:r>
        <w:t xml:space="preserve">said C40 Executive Director Mark Watts. UN Secretary-General António Guterres struck a sweeping note:</w:t>
      </w:r>
      <w:r>
        <w:t xml:space="preserve"> </w:t>
      </w:r>
      <w:r>
        <w:t xml:space="preserve">“We can finally turn the page on fossil fuels – and write a future powered by renewables rooted in climate justice.”</w:t>
      </w:r>
    </w:p>
    <w:p>
      <w:pPr>
        <w:pStyle w:val="BodyText"/>
      </w:pPr>
      <w:r>
        <w:t xml:space="preserve">The European Commission used the week to launch its</w:t>
      </w:r>
      <w:r>
        <w:t xml:space="preserve"> </w:t>
      </w:r>
      <w:r>
        <w:t xml:space="preserve">“Electrify Now”</w:t>
      </w:r>
      <w:r>
        <w:t xml:space="preserve"> </w:t>
      </w:r>
      <w:r>
        <w:t xml:space="preserve">global platform, targeting 35% of final energy demand from electrification by 2035.</w:t>
      </w:r>
      <w:r>
        <w:t xml:space="preserve"> </w:t>
      </w:r>
      <w:r>
        <w:t xml:space="preserve">“Clean electrification is one of the most powerful tools we have to build a sustainable future,”</w:t>
      </w:r>
      <w:r>
        <w:t xml:space="preserve"> </w:t>
      </w:r>
      <w:r>
        <w:t xml:space="preserve">said Commissioner for Energy and Housing Dan Jørgensen. Global Methane Pledge signatories now total 159 countries plus the EU, committed to reducing methane by at least 30% from 2020 levels by 2030.</w:t>
      </w:r>
    </w:p>
    <w:p>
      <w:pPr>
        <w:pStyle w:val="BodyText"/>
      </w:pPr>
      <w:r>
        <w:rPr>
          <w:b/>
          <w:bCs/>
        </w:rPr>
        <w:t xml:space="preserve">References</w:t>
      </w:r>
    </w:p>
    <w:p>
      <w:pPr>
        <w:pStyle w:val="BodyText"/>
      </w:pPr>
      <w:r>
        <w:t xml:space="preserve">[15] C40 Cities. (2026, June 24). London Climate Action Week Day 2. C40 Cities. https://www.c40.org/news/london-climate-action-week-day-2/</w:t>
      </w:r>
    </w:p>
    <w:p>
      <w:pPr>
        <w:pStyle w:val="BodyText"/>
      </w:pPr>
      <w:r>
        <w:t xml:space="preserve">[16] European Commission. (2026, June 24). EU at London Climate Action Week: joining forces to expand electrification and reduce methane emissions. European Commission. https://energy.ec.europa.eu/news/eu-london-climate-action-week-joining-forces-expand-electrification-and-reduce-methane-emissions-2026-06-24_en</w:t>
      </w:r>
    </w:p>
    <w:p>
      <w:r>
        <w:pict>
          <v:rect style="width:0;height:1.5pt" o:hralign="center" o:hrstd="t" o:hr="t"/>
        </w:pict>
      </w:r>
    </w:p>
    <w:bookmarkEnd w:id="17"/>
    <w:bookmarkEnd w:id="18"/>
    <w:bookmarkStart w:id="21" w:name="corporate-ipo-ma"/>
    <w:p>
      <w:pPr>
        <w:pStyle w:val="Heading2"/>
      </w:pPr>
      <w:r>
        <w:t xml:space="preserve">5. Corporate IPO &amp; M&amp;A</w:t>
      </w:r>
    </w:p>
    <w:bookmarkStart w:id="19" w:name="X0d74d27092f26fcef9eeccc720f2094e1201a3a"/>
    <w:p>
      <w:pPr>
        <w:pStyle w:val="Heading3"/>
      </w:pPr>
      <w:r>
        <w:t xml:space="preserve">SEGRO Rejects £12.6 Billion All-Share Takeover Approach from US Logistics Giant Prologis</w:t>
      </w:r>
    </w:p>
    <w:p>
      <w:pPr>
        <w:pStyle w:val="FirstParagraph"/>
      </w:pPr>
      <w:r>
        <w:t xml:space="preserve">US-based logistics and industrial real estate company Prologis, Inc. publicly disclosed on 24 June 2026 an indicative all-share proposal to acquire SEGRO plc, the FTSE 100 industrial and logistics REIT, valuing SEGRO at approximately £12.6 billion. The proposal was communicated privately to SEGRO’s board on 16 June 2026; the board unequivocally rejected it on 23 June, prompting Prologis to take its case public the next day.</w:t>
      </w:r>
    </w:p>
    <w:p>
      <w:pPr>
        <w:pStyle w:val="BodyText"/>
      </w:pPr>
      <w:r>
        <w:t xml:space="preserve">The terms offered 0.084 new Prologis shares for each SEGRO share, implying a value of 925 pence per share. That marked a 24.6% premium to SEGRO’s closing price of 742 pence on 23 June, a 26.7% premium to the one-month volume-weighted average price of 730 pence, and a 31.4% premium to the three-month VWAP of 704 pence. SEGRO shareholders would have ended up holding roughly 10.5% of the enlarged Prologis. Prologis argued the tie-up would unlock the embedded value of SEGRO’s development and data centre pipeline — a strategic prize as warehouse landlords race to repurpose land and power capacity for AI-driven computing demand — in a way SEGRO could not achieve standalone.</w:t>
      </w:r>
    </w:p>
    <w:p>
      <w:pPr>
        <w:pStyle w:val="BodyText"/>
      </w:pPr>
      <w:r>
        <w:t xml:space="preserve">Under UK Takeover Code Rule 2.6(a), Prologis must announce a firm intention to make an offer, or walk away, by 22 July 2026 at 17:00 London time. Rothschild &amp; Co and J.P. Morgan Securities are advising Prologis, with Linklaters LLP acting as legal counsel.</w:t>
      </w:r>
    </w:p>
    <w:p>
      <w:pPr>
        <w:pStyle w:val="BodyText"/>
      </w:pPr>
      <w:r>
        <w:rPr>
          <w:b/>
          <w:bCs/>
        </w:rPr>
        <w:t xml:space="preserve">References</w:t>
      </w:r>
    </w:p>
    <w:p>
      <w:pPr>
        <w:pStyle w:val="BodyText"/>
      </w:pPr>
      <w:r>
        <w:t xml:space="preserve">[17] Investegate. (2026, June 24). SEGRO plc: Statement re possible combination. Investegate. https://www.investegate.co.uk/announcement/rns/segro–sgro/statement-re-possible-combination/9633059</w:t>
      </w:r>
    </w:p>
    <w:p>
      <w:pPr>
        <w:pStyle w:val="BodyText"/>
      </w:pPr>
      <w:r>
        <w:t xml:space="preserve">[18] Bloomberg. (2026, June 24). UK landlord SEGRO rejects £12.6 billion Prologis bid. Bloomberg. https://www.bloomberg.com/news/articles/2026-06-24/uk-landlord-segro-rejects-12-6-billion-prologis-bid</w:t>
      </w:r>
    </w:p>
    <w:p>
      <w:pPr>
        <w:pStyle w:val="BodyText"/>
      </w:pPr>
      <w:r>
        <w:t xml:space="preserve">[19] Investing.com. (2026, June 24). US-based Prologis takes $16.6 billion bid for UK landlord SEGRO public after rejection. Investing.com. https://www.investing.com/news/stock-market-news/usbased-prologis-takes-166-billion-bid-for-uk-landlord-segro-public-after-rejection-4757416</w:t>
      </w:r>
    </w:p>
    <w:p>
      <w:pPr>
        <w:pStyle w:val="BodyText"/>
      </w:pPr>
      <w:r>
        <w:t xml:space="preserve">[20] CRE Herald. (2026, June 24). SEGRO rejects £12.6bn takeover approach from Prologis. CRE Herald. https://www.creherald.com/segro-rejects-12-6bn-takeover-approach-from-prologis/</w:t>
      </w:r>
    </w:p>
    <w:p>
      <w:pPr>
        <w:pStyle w:val="BodyText"/>
      </w:pPr>
      <w:r>
        <w:t xml:space="preserve">[21] Prologis, Inc. (2026, June 24). Creating shareholder value through a possible SEGRO and Prologis combination. Prologis Investor Relations. https://ir.prologis.com/press-releases/detail/1040/creating-shareholder-value-through-a-possible-segro-and</w:t>
      </w:r>
    </w:p>
    <w:p>
      <w:pPr>
        <w:pStyle w:val="BodyText"/>
      </w:pPr>
      <w:r>
        <w:t xml:space="preserve">[22] Data Center Dynamics. (2026, June 24). Real estate giant Prologis makes bid for UK’s SEGRO to capitalize on data center pipeline. Data Center Dynamics. https://www.datacenterdynamics.com/en/news/real-estate-giant-prologis-makes-bid-for-uks-segro-to-capitalize-on-data-center-pipeline/</w:t>
      </w:r>
    </w:p>
    <w:p>
      <w:r>
        <w:pict>
          <v:rect style="width:0;height:1.5pt" o:hralign="center" o:hrstd="t" o:hr="t"/>
        </w:pict>
      </w:r>
    </w:p>
    <w:bookmarkEnd w:id="19"/>
    <w:bookmarkStart w:id="20" w:name="X1324c0ab6190ea0457ea3f1698de5a82c9d657f"/>
    <w:p>
      <w:pPr>
        <w:pStyle w:val="Heading3"/>
      </w:pPr>
      <w:r>
        <w:t xml:space="preserve">Ratio Petroleum to Acquire Pharos Energy via £124.3 Million Cash Scheme of Arrangement</w:t>
      </w:r>
    </w:p>
    <w:p>
      <w:pPr>
        <w:pStyle w:val="FirstParagraph"/>
      </w:pPr>
      <w:r>
        <w:t xml:space="preserve">Ratio Petroleum Energy LP announced on 24 June 2026 a recommended acquisition of Pharos Energy plc through a court-approved scheme of arrangement under Part 26 of the Companies Act 2006. The offer is up to 28 pence per share in cash, comprising 23.0683 pence cash consideration, a 4.0 pence special dividend and a 0.9317 pence FY25 final dividend. The structure values Pharos at approximately £124.3 million, a 10.24% premium to its closing price of 25.4 pence on 23 June 2026.</w:t>
      </w:r>
    </w:p>
    <w:p>
      <w:pPr>
        <w:pStyle w:val="BodyText"/>
      </w:pPr>
      <w:r>
        <w:t xml:space="preserve">Ratio has already secured irrevocable undertakings representing approximately 41.76% of Pharos’s issued share capital, lending the deal momentum. Pharos, the London-listed independent formerly known as SOCO International, runs producing oil and gas assets in Vietnam and Egypt; its 2025 production was 5,398 barrels of oil equivalent per day with revenues of $114.6 million.</w:t>
      </w:r>
      <w:r>
        <w:t xml:space="preserve"> </w:t>
      </w:r>
      <w:r>
        <w:t xml:space="preserve">“Over the last 23 months, the team has put Pharos in a position where this all-cash offer is possible,”</w:t>
      </w:r>
      <w:r>
        <w:t xml:space="preserve"> </w:t>
      </w:r>
      <w:r>
        <w:t xml:space="preserve">said Pharos CEO Katherine Roe. Ratio CEO Itay Raphael said:</w:t>
      </w:r>
      <w:r>
        <w:t xml:space="preserve"> </w:t>
      </w:r>
      <w:r>
        <w:t xml:space="preserve">“We are pleased to announce our recommended offer for Pharos today, creates a balanced production and exploration company.”</w:t>
      </w:r>
      <w:r>
        <w:t xml:space="preserve"> </w:t>
      </w:r>
      <w:r>
        <w:t xml:space="preserve">The expected effective date is H1 2027, pending court approval, with Shore Capital advising Ratio and Rothschild &amp; Co advising Pharos.</w:t>
      </w:r>
    </w:p>
    <w:p>
      <w:pPr>
        <w:pStyle w:val="BodyText"/>
      </w:pPr>
      <w:r>
        <w:rPr>
          <w:b/>
          <w:bCs/>
        </w:rPr>
        <w:t xml:space="preserve">References</w:t>
      </w:r>
    </w:p>
    <w:p>
      <w:pPr>
        <w:pStyle w:val="BodyText"/>
      </w:pPr>
      <w:r>
        <w:t xml:space="preserve">[23] Investegate. (2026, June 24). Recommended acquisition of Pharos Energy plc. Investegate. https://www.investegate.co.uk/announcement/rns/pharos-energy–phar/recommended-acquisition-of-pharos-energy-plc-/9633055</w:t>
      </w:r>
    </w:p>
    <w:p>
      <w:r>
        <w:pict>
          <v:rect style="width:0;height:1.5pt" o:hralign="center" o:hrstd="t" o:hr="t"/>
        </w:pict>
      </w:r>
    </w:p>
    <w:p>
      <w:pPr>
        <w:pStyle w:val="FirstParagraph"/>
      </w:pPr>
      <w:r>
        <w:rPr>
          <w:i/>
          <w:iCs/>
        </w:rPr>
        <w:t xml:space="preserve">Note: only 2 stories met T1-T4 standards for this category today.</w:t>
      </w:r>
    </w:p>
    <w:bookmarkEnd w:id="20"/>
    <w:bookmarkEnd w:id="21"/>
    <w:bookmarkStart w:id="22" w:name="other-notable-events"/>
    <w:p>
      <w:pPr>
        <w:pStyle w:val="Heading2"/>
      </w:pPr>
      <w:r>
        <w:t xml:space="preserve">6. Other Notable Events</w:t>
      </w:r>
    </w:p>
    <w:p>
      <w:pPr>
        <w:pStyle w:val="FirstParagraph"/>
      </w:pPr>
      <w:r>
        <w:rPr>
          <w:i/>
          <w:iCs/>
        </w:rPr>
        <w:t xml:space="preserve">Note: only 0 stories met T1-T4 standards for this category today.</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2026-06-24T12:52:33Z</dcterms:created>
  <dcterms:modified xsi:type="dcterms:W3CDTF">2026-06-24T12:52:33Z</dcterms:modified>
</cp:coreProperties>
</file>

<file path=docProps/custom.xml><?xml version="1.0" encoding="utf-8"?>
<Properties xmlns="http://schemas.openxmlformats.org/officeDocument/2006/custom-properties" xmlns:vt="http://schemas.openxmlformats.org/officeDocument/2006/docPropsVTypes"/>
</file>