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6" w:name="欧洲每日热点新闻-2026年5月20日"/>
    <w:p>
      <w:pPr>
        <w:pStyle w:val="Heading1"/>
      </w:pPr>
      <w:r>
        <w:rPr>
          <w:rFonts w:hint="eastAsia"/>
        </w:rPr>
        <w:t xml:space="preserve">欧洲每日热点新闻</w:t>
      </w:r>
      <w:r>
        <w:t xml:space="preserve"> — </w:t>
      </w:r>
      <w:r>
        <w:rPr>
          <w:rFonts w:hint="eastAsia"/>
        </w:rPr>
        <w:t xml:space="preserve">2026年5月20日</w:t>
      </w:r>
    </w:p>
    <w:bookmarkStart w:id="13" w:name="一经济与市场"/>
    <w:p>
      <w:pPr>
        <w:pStyle w:val="Heading2"/>
      </w:pPr>
      <w:r>
        <w:rPr>
          <w:rFonts w:hint="eastAsia"/>
        </w:rPr>
        <w:t xml:space="preserve">一、经济与市场</w:t>
      </w:r>
    </w:p>
    <w:bookmarkStart w:id="9" w:name="欧盟议会与理事会就特恩贝里协议达成临时一致15关税上限落地在即"/>
    <w:p>
      <w:pPr>
        <w:pStyle w:val="Heading3"/>
      </w:pPr>
      <w:r>
        <w:rPr>
          <w:rFonts w:hint="eastAsia"/>
        </w:rPr>
        <w:t xml:space="preserve">欧盟议会与理事会就特恩贝里协议达成临时一致，15%关税上限落地在即</w:t>
      </w:r>
    </w:p>
    <w:p>
      <w:pPr>
        <w:pStyle w:val="FirstParagraph"/>
      </w:pPr>
      <w:r>
        <w:rPr>
          <w:rFonts w:hint="eastAsia"/>
        </w:rPr>
        <w:t xml:space="preserve">欧盟与美国之间长达十个月的关税拉锯，5月20日迈过一道关键门槛。欧洲议会与欧盟理事会当日就落实“特恩贝里协议”的立法文本达成临时一致，为大多数欧盟出口美国商品15%的关税上限扫清程序障碍。负责贸易事务的欧委会副主席谢夫乔维奇（Maroš</w:t>
      </w:r>
      <w:r>
        <w:t xml:space="preserve"> </w:t>
      </w:r>
      <w:r>
        <w:rPr>
          <w:rFonts w:hint="eastAsia"/>
        </w:rPr>
        <w:t xml:space="preserve">Šefčovič）形容钢铝谈判“大概是最难啃的一块”。</w:t>
      </w:r>
    </w:p>
    <w:p>
      <w:pPr>
        <w:pStyle w:val="BodyText"/>
      </w:pPr>
      <w:r>
        <w:rPr>
          <w:rFonts w:hint="eastAsia"/>
        </w:rPr>
        <w:t xml:space="preserve">协议的源头要追溯到2025年7月，特朗普与冯德莱恩在苏格兰特恩贝里高尔夫球场敲定政治框架，8月21日签署联合声明，确立美国对欧盟出口商品征收“MFN税率或15%中孰高者”的关税顶。作为对价，欧盟承诺取消所有美国工业品关税，并向美国农产品提供优惠准入；飞机及其零部件、部分化工和制药产品则完全免税。这种15%对0%的非对称结构曾遭德国总理默茨严厉批评，称其将给两个经济体带来“相当程度的损害”。</w:t>
      </w:r>
    </w:p>
    <w:p>
      <w:pPr>
        <w:pStyle w:val="BodyText"/>
      </w:pPr>
      <w:r>
        <w:rPr>
          <w:rFonts w:hint="eastAsia"/>
        </w:rPr>
        <w:t xml:space="preserve">新文本最关键的一处是保护条款：若美国对钢铝衍生品的关税在2026年12月31日之后仍高于15%，欧盟保留启动反制的权利。整套机制将于2029年12月31日日落。国际贸易委员会（INTA）将于6月2日表决，全会定于6月15至18日审议。冯德莱恩对议员承诺：“我们将很快按承诺履行欧盟在《欧美联合声明》中的义务。”</w:t>
      </w:r>
    </w:p>
    <w:p>
      <w:pPr>
        <w:pStyle w:val="BodyText"/>
      </w:pPr>
      <w:r>
        <w:rPr>
          <w:rFonts w:hint="eastAsia"/>
        </w:rPr>
        <w:t xml:space="preserve">时间窗紧迫。7月4日是特朗普此前划下的最后期限；他威胁若欧方延宕，将对欧产汽车加征25%关税。2025年8月以来，华盛顿已对407个产品类别动用最高50%的钢铝衍生品税。欧洲议会国际贸易委员会主席兰格（Bernd</w:t>
      </w:r>
      <w:r>
        <w:t xml:space="preserve"> </w:t>
      </w:r>
      <w:r>
        <w:rPr>
          <w:rFonts w:hint="eastAsia"/>
        </w:rPr>
        <w:t xml:space="preserve">Lange）撂下狠话：“如果美国不尊重欧美贸易协议，我们已经准备好其他反制措施。”塞浦路斯贸易部长达米亚诺斯（Michael</w:t>
      </w:r>
      <w:r>
        <w:t xml:space="preserve"> </w:t>
      </w:r>
      <w:r>
        <w:rPr>
          <w:rFonts w:hint="eastAsia"/>
        </w:rPr>
        <w:t xml:space="preserve">Damianos）则强调，欧美仍共享“全球规模最大、整合程度最高的经济关系”。</w:t>
      </w:r>
    </w:p>
    <w:p>
      <w:pPr>
        <w:pStyle w:val="BodyText"/>
      </w:pPr>
      <w:r>
        <w:rPr>
          <w:b/>
          <w:bCs/>
        </w:rPr>
        <w:t xml:space="preserve">References</w:t>
      </w:r>
    </w:p>
    <w:p>
      <w:pPr>
        <w:pStyle w:val="BodyText"/>
      </w:pPr>
      <w:r>
        <w:t xml:space="preserve">[1] Liboreiro, J. (2026, May 20). EU approves trade deal with the US despite uncertainty in transatlantic relations. Euronews. https://www.euronews.com/my-europe/2026/05/20/eu-approves-trade-deal-with-the-us-despite-uncertainty-in-transatlantic-relations</w:t>
      </w:r>
      <w:r>
        <w:t xml:space="preserve"> </w:t>
      </w:r>
      <w:r>
        <w:t xml:space="preserve">[2] Reuters. (2026, May 20). EU approves trade pact with U.S. that caps tariffs on most European exports. The Globe and Mail. https://www.theglobeandmail.com/business/international-business/article-eu-approves-trade-deal-with-us-15-percent-tariffs/</w:t>
      </w:r>
      <w:r>
        <w:t xml:space="preserve"> </w:t>
      </w:r>
      <w:r>
        <w:t xml:space="preserve">[3] Smith-Meyer, B. (2026, May 20). EU clears major hurdle to finalize U.S. trade pact — and sidestep Trump tariff hikes. CNBC. https://www.cnbc.com/2026/05/20/eu-us-trade-deal-trump-autos.html</w:t>
      </w:r>
    </w:p>
    <w:p>
      <w:r>
        <w:pict>
          <v:rect style="width:0;height:1.5pt" o:hralign="center" o:hrstd="t" o:hr="t"/>
        </w:pict>
      </w:r>
    </w:p>
    <w:bookmarkEnd w:id="9"/>
    <w:bookmarkStart w:id="10" w:name="英国4月cpi跌至2.8电价大降8.4为通胀松绑"/>
    <w:p>
      <w:pPr>
        <w:pStyle w:val="Heading3"/>
      </w:pPr>
      <w:r>
        <w:rPr>
          <w:rFonts w:hint="eastAsia"/>
        </w:rPr>
        <w:t xml:space="preserve">英国4月CPI跌至2.8%，电价大降8.4%为通胀松绑</w:t>
      </w:r>
    </w:p>
    <w:p>
      <w:pPr>
        <w:pStyle w:val="FirstParagraph"/>
      </w:pPr>
      <w:r>
        <w:rPr>
          <w:rFonts w:hint="eastAsia"/>
        </w:rPr>
        <w:t xml:space="preserve">英国国家统计局5月20日公布的数据显示，4月CPI同比从3月的3.3%降至2.8%，创2025年3月以来最低读数，明显低于路透调查中位数3.0%。CPIH（含自有住房成本）从3.4%回落至3.0%，核心CPIH从3.3%降至2.8%。月度环比方面，CPI仅上涨0.7%，远低于一年前同月的1.2%。</w:t>
      </w:r>
    </w:p>
    <w:p>
      <w:pPr>
        <w:pStyle w:val="BodyText"/>
      </w:pPr>
      <w:r>
        <w:rPr>
          <w:rFonts w:hint="eastAsia"/>
        </w:rPr>
        <w:t xml:space="preserve">降幅几乎完全来自能源。Ofgem于4月1日生效的新一期家庭能源价格上限较前一期下调7%（约117英镑），是过去三年最大单次降幅；英国政府同步撤销能源公司义务（ECO）征费、将“绿色征费”转入一般税收，每户全年再省约150英镑。这两项措施直接反映在数据上——4月电价同比下跌8.4%，3月还是上涨2.9%；住房水电类对CPIH的贡献从4.3%锐降至3.0%。</w:t>
      </w:r>
    </w:p>
    <w:p>
      <w:pPr>
        <w:pStyle w:val="BodyText"/>
      </w:pPr>
      <w:r>
        <w:rPr>
          <w:rFonts w:hint="eastAsia"/>
        </w:rPr>
        <w:t xml:space="preserve">但通胀回落不等于物价压力消退。汽油同比涨幅23%，是2022年9月以来最高，背景是中东冲突推升的国际原油成本；交通类整体4.5%，仅小幅回落。食品3.0%（前值3.7%）、娱乐休闲1.7%（前值2.8%）维持降势。劳动力市场数据同步揭晓：1至3月不含奖金的常规薪资同比增3.4%，含奖金的总薪资增4.1%，公共部门4.8%远高于私营部门的3.0%；扣除通胀后实际常规薪资增长仅0.1%，名义降温掩盖了购买力疲弱。</w:t>
      </w:r>
    </w:p>
    <w:p>
      <w:pPr>
        <w:pStyle w:val="BodyText"/>
      </w:pPr>
      <w:r>
        <w:rPr>
          <w:rFonts w:hint="eastAsia"/>
        </w:rPr>
        <w:t xml:space="preserve">数据公布后，利率期货迅速重定价：市场认为英国央行7月加息25基点至4.0%的概率显著上升。</w:t>
      </w:r>
    </w:p>
    <w:p>
      <w:pPr>
        <w:pStyle w:val="BodyText"/>
      </w:pPr>
      <w:r>
        <w:rPr>
          <w:b/>
          <w:bCs/>
        </w:rPr>
        <w:t xml:space="preserve">References</w:t>
      </w:r>
    </w:p>
    <w:p>
      <w:pPr>
        <w:pStyle w:val="BodyText"/>
      </w:pPr>
      <w:r>
        <w:t xml:space="preserve">[4] Office for National Statistics. (2026, May 20). Consumer price inflation, UK: April 2026. ONS. https://www.ons.gov.uk/economy/inflationandpriceindices/bulletins/consumerpriceinflation/april2026</w:t>
      </w:r>
      <w:r>
        <w:t xml:space="preserve"> </w:t>
      </w:r>
      <w:r>
        <w:t xml:space="preserve">[5] Ofgem. (2026, February 25). Energy price cap will fall by 7% from April. Ofgem. https://www.ofgem.gov.uk/press-release/energy-price-cap-will-fall-7-april</w:t>
      </w:r>
    </w:p>
    <w:p>
      <w:r>
        <w:pict>
          <v:rect style="width:0;height:1.5pt" o:hralign="center" o:hrstd="t" o:hr="t"/>
        </w:pict>
      </w:r>
    </w:p>
    <w:bookmarkEnd w:id="10"/>
    <w:bookmarkStart w:id="11" w:name="冯德莱恩誓言2027年前完成单一市场瞄准成员国镀金做法"/>
    <w:p>
      <w:pPr>
        <w:pStyle w:val="Heading3"/>
      </w:pPr>
      <w:r>
        <w:rPr>
          <w:rFonts w:hint="eastAsia"/>
        </w:rPr>
        <w:t xml:space="preserve">冯德莱恩誓言2027年前完成单一市场，瞄准成员国镀金做法</w:t>
      </w:r>
    </w:p>
    <w:p>
      <w:pPr>
        <w:pStyle w:val="FirstParagraph"/>
      </w:pPr>
      <w:r>
        <w:rPr>
          <w:rFonts w:hint="eastAsia"/>
        </w:rPr>
        <w:t xml:space="preserve">欧委会主席冯德莱恩5月20日在斯特拉斯堡议会全会上推出“One</w:t>
      </w:r>
      <w:r>
        <w:t xml:space="preserve"> Europe, One </w:t>
      </w:r>
      <w:r>
        <w:rPr>
          <w:rFonts w:hint="eastAsia"/>
        </w:rPr>
        <w:t xml:space="preserve">Market”路线图，承诺到2027年底完成欧盟内部市场建设。她对议员说：“我们必须完成我们已经开启的事业，必须清除内部市场中至今仍存在的壁垒。”她将这条路径与“每一个地区、每一位公民”挂钩，又警告：“成功并不是上一代人留给我们的遗产。”</w:t>
      </w:r>
    </w:p>
    <w:p>
      <w:pPr>
        <w:pStyle w:val="BodyText"/>
      </w:pPr>
      <w:r>
        <w:rPr>
          <w:rFonts w:hint="eastAsia"/>
        </w:rPr>
        <w:t xml:space="preserve">要理解这份路线图的份量，需要把它放回2024年的政策序列里。当年4月，前意大利总理莱塔（Enrico</w:t>
      </w:r>
      <w:r>
        <w:t xml:space="preserve"> </w:t>
      </w:r>
      <w:r>
        <w:rPr>
          <w:rFonts w:hint="eastAsia"/>
        </w:rPr>
        <w:t xml:space="preserve">Letta）发布单一市场报告；9月，前欧洲央行行长德拉吉（Mario</w:t>
      </w:r>
      <w:r>
        <w:t xml:space="preserve"> </w:t>
      </w:r>
      <w:r>
        <w:rPr>
          <w:rFonts w:hint="eastAsia"/>
        </w:rPr>
        <w:t xml:space="preserve">Draghi）追加竞争力报告。两份报告共同得出冷峻结论：欧盟内部壁垒相当于商品45%、服务110%的关税水平，企业今天遇到的60%障碍二十年前就存在。冯德莱恩此次提出的路线图，已于2026年4月获欧委会、议会、理事会三方背书。</w:t>
      </w:r>
    </w:p>
    <w:p>
      <w:pPr>
        <w:pStyle w:val="BodyText"/>
      </w:pPr>
      <w:r>
        <w:rPr>
          <w:rFonts w:hint="eastAsia"/>
        </w:rPr>
        <w:t xml:space="preserve">她将新版单一市场定义为“天生数字化”——半导体、云计算、人工智能是基础设施级别的内嵌组件，而非附加层。她特别点名要整治成员国“镀金加码”做法，即在转化欧盟指令时层层加码，制造跨境合规迷宫。本周晚些时候，欧盟将与墨西哥签署现代化版全球协定，作为对外贸易议程的同步动作。</w:t>
      </w:r>
    </w:p>
    <w:p>
      <w:pPr>
        <w:pStyle w:val="BodyText"/>
      </w:pPr>
      <w:r>
        <w:rPr>
          <w:b/>
          <w:bCs/>
        </w:rPr>
        <w:t xml:space="preserve">References</w:t>
      </w:r>
    </w:p>
    <w:p>
      <w:pPr>
        <w:pStyle w:val="BodyText"/>
      </w:pPr>
      <w:r>
        <w:t xml:space="preserve">[6] Sánchez Manzanaro, S. (2026, May 20). Von der Leyen calls for completing the European single market in EU Parliament address. Euronews. https://www.euronews.com/my-europe/2026/05/20/von-der-leyen-calls-for-completing-the-european-single-market-in-eu-parliament-address</w:t>
      </w:r>
      <w:r>
        <w:t xml:space="preserve"> </w:t>
      </w:r>
      <w:r>
        <w:t xml:space="preserve">[7] Pichlak, M. (2024, October 21). Deepening the single market in the light of the Letta and Draghi reports. European Parliamentary Research Service. https://www.europarl.europa.eu/RegData/etudes/BRIE/2024/762469/EPRS_BRI(2024)762469_EN.pdf</w:t>
      </w:r>
    </w:p>
    <w:p>
      <w:r>
        <w:pict>
          <v:rect style="width:0;height:1.5pt" o:hralign="center" o:hrstd="t" o:hr="t"/>
        </w:pict>
      </w:r>
    </w:p>
    <w:bookmarkEnd w:id="11"/>
    <w:bookmarkStart w:id="12" w:name="英国财相里夫斯立法收窄清洁能源项目司法复核空间"/>
    <w:p>
      <w:pPr>
        <w:pStyle w:val="Heading3"/>
      </w:pPr>
      <w:r>
        <w:rPr>
          <w:rFonts w:hint="eastAsia"/>
        </w:rPr>
        <w:t xml:space="preserve">英国财相里夫斯立法收窄清洁能源项目司法复核空间</w:t>
      </w:r>
    </w:p>
    <w:p>
      <w:pPr>
        <w:pStyle w:val="FirstParagraph"/>
      </w:pPr>
      <w:r>
        <w:rPr>
          <w:rFonts w:hint="eastAsia"/>
        </w:rPr>
        <w:t xml:space="preserve">英国财相里夫斯（Rachel</w:t>
      </w:r>
      <w:r>
        <w:t xml:space="preserve"> </w:t>
      </w:r>
      <w:r>
        <w:rPr>
          <w:rFonts w:hint="eastAsia"/>
        </w:rPr>
        <w:t xml:space="preserve">Reeves）5月20日发布政策文件，授权议会将发电站、海上风电场和电网连接等国家关键清洁能源项目定性为具有“国家重要意义”，从而压缩对其提起司法复核（Judicial</w:t>
      </w:r>
      <w:r>
        <w:t xml:space="preserve"> Review, </w:t>
      </w:r>
      <w:r>
        <w:rPr>
          <w:rFonts w:hint="eastAsia"/>
        </w:rPr>
        <w:t xml:space="preserve">JR）的法律空间，并为其他国家重大基础设施项目（NSIPs）设定固定的法律挑战时间窗。</w:t>
      </w:r>
    </w:p>
    <w:p>
      <w:pPr>
        <w:pStyle w:val="BodyText"/>
      </w:pPr>
      <w:r>
        <w:rPr>
          <w:rFonts w:hint="eastAsia"/>
        </w:rPr>
        <w:t xml:space="preserve">财政部发言人措辞罕见地直白：“长期以来，国家亟需的关键基础设施交付一再被针对相关项目的司法复核拖延。财相不会再容忍下去，正在推出大胆改革以支持交付。”配套的《规划与基础设施法案》已提交议会。</w:t>
      </w:r>
    </w:p>
    <w:p>
      <w:pPr>
        <w:pStyle w:val="BodyText"/>
      </w:pPr>
      <w:r>
        <w:rPr>
          <w:rFonts w:hint="eastAsia"/>
        </w:rPr>
        <w:t xml:space="preserve">时间选择并不偶然。同一天上午统计局公布CPI回落至2.8%，其中能源价格下降构成主因，但中东战火推升原油的隐忧仍未散去——4月汽油同比上涨23%，是三年多来最高。工党政府试图借通胀短暂喘息之机，把加快能源基建的政治叙事嵌入压低生活成本的主线。</w:t>
      </w:r>
    </w:p>
    <w:p>
      <w:pPr>
        <w:pStyle w:val="BodyText"/>
      </w:pPr>
      <w:r>
        <w:rPr>
          <w:b/>
          <w:bCs/>
        </w:rPr>
        <w:t xml:space="preserve">References</w:t>
      </w:r>
    </w:p>
    <w:p>
      <w:pPr>
        <w:pStyle w:val="BodyText"/>
      </w:pPr>
      <w:r>
        <w:t xml:space="preserve">[8] PA Media. (2026, May 20). UK parliament to get powers to deem clean energy projects critical. LSE. https://www.lse.co.uk/news/uk-parliament-to-get-powers-to-deem-clean-energy-projects-critical-f3jer85a3m58dm5.html</w:t>
      </w:r>
    </w:p>
    <w:p>
      <w:r>
        <w:pict>
          <v:rect style="width:0;height:1.5pt" o:hralign="center" o:hrstd="t" o:hr="t"/>
        </w:pict>
      </w:r>
    </w:p>
    <w:bookmarkEnd w:id="12"/>
    <w:bookmarkEnd w:id="13"/>
    <w:bookmarkStart w:id="17" w:name="二政治与外交"/>
    <w:p>
      <w:pPr>
        <w:pStyle w:val="Heading2"/>
      </w:pPr>
      <w:r>
        <w:rPr>
          <w:rFonts w:hint="eastAsia"/>
        </w:rPr>
        <w:t xml:space="preserve">二、政治与外交</w:t>
      </w:r>
    </w:p>
    <w:bookmarkStart w:id="14" w:name="欧洲议会418票通过决议敦促首次对斯洛伐克启动法治资金挂钩机制"/>
    <w:p>
      <w:pPr>
        <w:pStyle w:val="Heading3"/>
      </w:pPr>
      <w:r>
        <w:rPr>
          <w:rFonts w:hint="eastAsia"/>
        </w:rPr>
        <w:t xml:space="preserve">欧洲议会418票通过决议，敦促首次对斯洛伐克启动法治资金挂钩机制</w:t>
      </w:r>
    </w:p>
    <w:p>
      <w:pPr>
        <w:pStyle w:val="FirstParagraph"/>
      </w:pPr>
      <w:r>
        <w:rPr>
          <w:rFonts w:hint="eastAsia"/>
        </w:rPr>
        <w:t xml:space="preserve">欧洲议会5月20日中午12时在斯特拉斯堡以418票赞成、207票反对通过题为《斯洛伐克的法治、基本权利与欧盟资金滥用》的决议，敦促欧委会首次对斯洛伐克启动法治条件性机制。这是该机制问世以来第二次被议会要求动用——上一次是2022年12月，欧盟据此冻结匈牙利63亿欧元资金，开创先例。</w:t>
      </w:r>
    </w:p>
    <w:p>
      <w:pPr>
        <w:pStyle w:val="BodyText"/>
      </w:pPr>
      <w:r>
        <w:rPr>
          <w:rFonts w:hint="eastAsia"/>
        </w:rPr>
        <w:t xml:space="preserve">议会援引2025年实地调查任务的结论：斯洛伐克拆解了特别检察官办公室，废除了反组织犯罪与腐败的NAKA局，引入刑事诉讼加速程序，并试图取消举报人保护办公室。决议要求恢复反腐保护、保障邮寄投票、彻查农业补贴侵吞案，并跟进欧盟反欺诈办公室（OLAF）与欧洲检察官办公室（EPPO）的调查。</w:t>
      </w:r>
    </w:p>
    <w:p>
      <w:pPr>
        <w:pStyle w:val="BodyText"/>
      </w:pPr>
      <w:r>
        <w:rPr>
          <w:rFonts w:hint="eastAsia"/>
        </w:rPr>
        <w:t xml:space="preserve">议事辩论火药味十足。德国绿党议员弗罗因德（Daniel</w:t>
      </w:r>
      <w:r>
        <w:t xml:space="preserve"> </w:t>
      </w:r>
      <w:r>
        <w:rPr>
          <w:rFonts w:hint="eastAsia"/>
        </w:rPr>
        <w:t xml:space="preserve">Freund）举出反腐检察官苏波娃（Zuzana</w:t>
      </w:r>
      <w:r>
        <w:t xml:space="preserve"> </w:t>
      </w:r>
      <w:r>
        <w:rPr>
          <w:rFonts w:hint="eastAsia"/>
        </w:rPr>
        <w:t xml:space="preserve">Šubová）被13名警察拘押的事例。斯洛伐克方向党议员布拉哈（Ľuboš</w:t>
      </w:r>
      <w:r>
        <w:t xml:space="preserve"> </w:t>
      </w:r>
      <w:r>
        <w:rPr>
          <w:rFonts w:hint="eastAsia"/>
        </w:rPr>
        <w:t xml:space="preserve">Blaha）正面回击：“没有腐败，也没有法治问题，这些都是你们的杜撰。”斯洛文尼亚革新欧洲议员约维娃（Irena</w:t>
      </w:r>
      <w:r>
        <w:t xml:space="preserve"> </w:t>
      </w:r>
      <w:r>
        <w:rPr>
          <w:rFonts w:hint="eastAsia"/>
        </w:rPr>
        <w:t xml:space="preserve">Joveva）形容总理菲佐“既专制又偏执”。</w:t>
      </w:r>
    </w:p>
    <w:p>
      <w:pPr>
        <w:pStyle w:val="BodyText"/>
      </w:pPr>
      <w:r>
        <w:rPr>
          <w:rFonts w:hint="eastAsia"/>
        </w:rPr>
        <w:t xml:space="preserve">启动机制并非立竿见影。匈牙利案先例显示，从触发到资金冻结需经历评估、信息交换、理事会合格多数表决等程序，前后耗时约八个月。</w:t>
      </w:r>
    </w:p>
    <w:p>
      <w:pPr>
        <w:pStyle w:val="BodyText"/>
      </w:pPr>
      <w:r>
        <w:rPr>
          <w:b/>
          <w:bCs/>
        </w:rPr>
        <w:t xml:space="preserve">References</w:t>
      </w:r>
    </w:p>
    <w:p>
      <w:pPr>
        <w:pStyle w:val="BodyText"/>
      </w:pPr>
      <w:r>
        <w:t xml:space="preserve">[9] European Parliament. (2026, May 20). Rule of law, fundamental rights and misuse of EU funds in Slovakia — votes. European Parliament. https://www.europarl.europa.eu/plenary/en/votes.html?tab=votes</w:t>
      </w:r>
      <w:r>
        <w:t xml:space="preserve"> </w:t>
      </w:r>
      <w:r>
        <w:t xml:space="preserve">[10] Council of the EU. (2022, December 12). Rule of law conditionality mechanism: Council decides to suspend €6.3 billion given only partial remedial action by Hungary. Consilium. https://www.consilium.europa.eu/en/press/press-releases/2022/12/12/rule-of-law-conditionality-mechanism/</w:t>
      </w:r>
    </w:p>
    <w:p>
      <w:r>
        <w:pict>
          <v:rect style="width:0;height:1.5pt" o:hralign="center" o:hrstd="t" o:hr="t"/>
        </w:pict>
      </w:r>
    </w:p>
    <w:bookmarkEnd w:id="14"/>
    <w:bookmarkStart w:id="15" w:name="莫迪抵罗马完成五国欧洲之行印意宣布升格为特殊战略伙伴关系"/>
    <w:p>
      <w:pPr>
        <w:pStyle w:val="Heading3"/>
      </w:pPr>
      <w:r>
        <w:rPr>
          <w:rFonts w:hint="eastAsia"/>
        </w:rPr>
        <w:t xml:space="preserve">莫迪抵罗马完成五国欧洲之行，印意宣布升格为特殊战略伙伴关系</w:t>
      </w:r>
    </w:p>
    <w:p>
      <w:pPr>
        <w:pStyle w:val="FirstParagraph"/>
      </w:pPr>
      <w:r>
        <w:rPr>
          <w:rFonts w:hint="eastAsia"/>
        </w:rPr>
        <w:t xml:space="preserve">印度总理莫迪5月20日抵达罗马，结束自己首次以总理身份对意大利的双边访问，也为五国欧洲行收官。意大利副总理兼外长塔亚尼（Antonio</w:t>
      </w:r>
      <w:r>
        <w:t xml:space="preserve"> </w:t>
      </w:r>
      <w:r>
        <w:rPr>
          <w:rFonts w:hint="eastAsia"/>
        </w:rPr>
        <w:t xml:space="preserve">Tajani）赴菲乌米奇诺机场迎接，总理梅洛尼则以晚宴和罗马斗兽场参观款待。</w:t>
      </w:r>
    </w:p>
    <w:p>
      <w:pPr>
        <w:pStyle w:val="BodyText"/>
      </w:pPr>
      <w:r>
        <w:rPr>
          <w:rFonts w:hint="eastAsia"/>
        </w:rPr>
        <w:t xml:space="preserve">两人在意大利媒体联合署名的文章中写道：“印度与意大利的关系如今已迈入决定性阶段。近年来，两国纽带以前所未有的势头扩展，已从友好情谊演进为一段以自由与民主价值观为根基、以共同未来愿景为指向的特殊战略伙伴关系。”这是两国关系定级从战略伙伴上抬一档的官方背书。</w:t>
      </w:r>
    </w:p>
    <w:p>
      <w:pPr>
        <w:pStyle w:val="BodyText"/>
      </w:pPr>
      <w:r>
        <w:rPr>
          <w:rFonts w:hint="eastAsia"/>
        </w:rPr>
        <w:t xml:space="preserve">谈判涵盖贸易、人工智能、制造业、国防、清洁能源、太空与安全。联合声明确定建立年度政府首脑峰会机制，并将2029年双边贸易目标设定为200亿欧元——2023年这一数字约为140亿欧元。两国还同意推进《2025–2029年联合战略行动计划》中期回顾。</w:t>
      </w:r>
    </w:p>
    <w:p>
      <w:pPr>
        <w:pStyle w:val="BodyText"/>
      </w:pPr>
      <w:r>
        <w:rPr>
          <w:rFonts w:hint="eastAsia"/>
        </w:rPr>
        <w:t xml:space="preserve">印度-中东-欧洲经济走廊（IMEC）是另一根主轴。该项目2023年9月G20新德里峰会上由印、美、沙特、欧盟、阿联酋、法、德、意签署谅解备忘录，意大利与希腊、法国一道是欧洲端的主要受益方，的里雅斯特港被力推为枢纽。莫迪向意方推介印度数字经济成就：“超过100家独角兽、20万家初创企业。”他在欧洲行早些时候已在瑞典与冯德莱恩会面。</w:t>
      </w:r>
    </w:p>
    <w:p>
      <w:pPr>
        <w:pStyle w:val="BodyText"/>
      </w:pPr>
      <w:r>
        <w:rPr>
          <w:b/>
          <w:bCs/>
        </w:rPr>
        <w:t xml:space="preserve">References</w:t>
      </w:r>
    </w:p>
    <w:p>
      <w:pPr>
        <w:pStyle w:val="BodyText"/>
      </w:pPr>
      <w:r>
        <w:t xml:space="preserve">[11] PTI. (2026, May 20). Modi in Italy: Meloni hosts dinner and Colosseum tour ahead of strategic talks. The Week. https://www.theweek.in/news/world/2026/05/20/modi-in-italy-meloni-hosts-dinner-and-colosseum-tour-ahead-of-strategic-talks.html</w:t>
      </w:r>
      <w:r>
        <w:t xml:space="preserve"> </w:t>
      </w:r>
      <w:r>
        <w:t xml:space="preserve">[12] News.az. (2026, May 18). India and Italy bet on new corridor linking Asia, Gulf and Europe. News.az. https://news.az/news/india-and-italy-bet-on-new-corridor-linking-asia-gulf-and-europe</w:t>
      </w:r>
    </w:p>
    <w:p>
      <w:r>
        <w:pict>
          <v:rect style="width:0;height:1.5pt" o:hralign="center" o:hrstd="t" o:hr="t"/>
        </w:pict>
      </w:r>
    </w:p>
    <w:bookmarkEnd w:id="15"/>
    <w:bookmarkStart w:id="16" w:name="欧洲议会就anthropic的mythos模型紧急辩论呼吁建欧盟自主大模型"/>
    <w:p>
      <w:pPr>
        <w:pStyle w:val="Heading3"/>
      </w:pPr>
      <w:r>
        <w:rPr>
          <w:rFonts w:hint="eastAsia"/>
        </w:rPr>
        <w:t xml:space="preserve">欧洲议会就Anthropic的Mythos模型紧急辩论，呼吁建欧盟自主大模型</w:t>
      </w:r>
    </w:p>
    <w:p>
      <w:pPr>
        <w:pStyle w:val="FirstParagraph"/>
      </w:pPr>
      <w:r>
        <w:rPr>
          <w:rFonts w:hint="eastAsia"/>
        </w:rPr>
        <w:t xml:space="preserve">欧洲议会5月20日下午1时（中欧时间）在斯特拉斯堡就一项前所未见的人工智能网络安全风险展开全会辩论，由革新欧洲党团提请。议程对象是Anthropic</w:t>
      </w:r>
      <w:r>
        <w:t xml:space="preserve"> </w:t>
      </w:r>
      <w:r>
        <w:rPr>
          <w:rFonts w:hint="eastAsia"/>
        </w:rPr>
        <w:t xml:space="preserve">4月7日预告的Mythos模型——一款能够自主发现软件漏洞的前沿系统，公司用它在数周内识别出主流操作系统和浏览器中的数千个零日漏洞，并自动撰写出连环漏洞利用代码。</w:t>
      </w:r>
    </w:p>
    <w:p>
      <w:pPr>
        <w:pStyle w:val="BodyText"/>
      </w:pPr>
      <w:r>
        <w:rPr>
          <w:rFonts w:hint="eastAsia"/>
        </w:rPr>
        <w:t xml:space="preserve">Anthropic宣布Mythos不会公开发布，而是通过“Project</w:t>
      </w:r>
      <w:r>
        <w:t xml:space="preserve"> </w:t>
      </w:r>
      <w:r>
        <w:rPr>
          <w:rFonts w:hint="eastAsia"/>
        </w:rPr>
        <w:t xml:space="preserve">Glasswing”项目，受限地向美国境内约40家关键科技公司与政府机构开放，并承诺为该计划提供至多1亿美元使用额度、向开源安全组织捐赠400万美元。Anthropic拒绝欧洲议会与欧盟网络与信息安全局（ENISA）的会面邀请，是欧方议员震怒的导火索。</w:t>
      </w:r>
    </w:p>
    <w:p>
      <w:pPr>
        <w:pStyle w:val="BodyText"/>
      </w:pPr>
      <w:r>
        <w:rPr>
          <w:rFonts w:hint="eastAsia"/>
        </w:rPr>
        <w:t xml:space="preserve">革新欧洲党团荷兰议员格罗特豪斯（Bart</w:t>
      </w:r>
      <w:r>
        <w:t xml:space="preserve"> </w:t>
      </w:r>
      <w:r>
        <w:rPr>
          <w:rFonts w:hint="eastAsia"/>
        </w:rPr>
        <w:t xml:space="preserve">Groothuis）警告：“以光速进行的规模化黑客攻击正被搬上世界舞台。”捷克海盗党议员格雷戈罗娃（Markéta</w:t>
      </w:r>
      <w:r>
        <w:t xml:space="preserve"> </w:t>
      </w:r>
      <w:r>
        <w:rPr>
          <w:rFonts w:hint="eastAsia"/>
        </w:rPr>
        <w:t xml:space="preserve">Gregorová）呼吁制定“一套缓解AI驱动网络安全威胁的欧洲方案”。法国革新党团议员戈齐（Sandro</w:t>
      </w:r>
      <w:r>
        <w:t xml:space="preserve"> </w:t>
      </w:r>
      <w:r>
        <w:rPr>
          <w:rFonts w:hint="eastAsia"/>
        </w:rPr>
        <w:t xml:space="preserve">Gozi）则把矛头对准美国：“欧洲不应被排除在那些已成为网络安全关键的战略技术之外。”欧委会发言人雷尼耶（Thomas</w:t>
      </w:r>
      <w:r>
        <w:t xml:space="preserve"> </w:t>
      </w:r>
      <w:r>
        <w:rPr>
          <w:rFonts w:hint="eastAsia"/>
        </w:rPr>
        <w:t xml:space="preserve">Regnier）回应：“一旦AI办公室的执法权在2026年8月启动，我们将确保在必要时获得对Mythos的访问权限。”他同时透露OpenAI已向欧委会开放GPT-5.5-Cyber，该模型在12小时内完成了32步骤的网络攻击模拟。</w:t>
      </w:r>
    </w:p>
    <w:p>
      <w:pPr>
        <w:pStyle w:val="BodyText"/>
      </w:pPr>
      <w:r>
        <w:rPr>
          <w:rFonts w:hint="eastAsia"/>
        </w:rPr>
        <w:t xml:space="preserve">革新欧洲提出的应对组合包括：加强欧盟网络韧性、制定AI网络安全战略、加快NIS2指令落地、构建符合欧盟标准的本土大语言模型。欧委会将于5月27日推出科技主权一揽子计划，涵盖《云与AI开发法案》和《芯片法案2.0》。</w:t>
      </w:r>
    </w:p>
    <w:p>
      <w:pPr>
        <w:pStyle w:val="BodyText"/>
      </w:pPr>
      <w:r>
        <w:rPr>
          <w:b/>
          <w:bCs/>
        </w:rPr>
        <w:t xml:space="preserve">References</w:t>
      </w:r>
    </w:p>
    <w:p>
      <w:pPr>
        <w:pStyle w:val="BodyText"/>
      </w:pPr>
      <w:r>
        <w:t xml:space="preserve">[13] Renew Europe Group. (2026, May 19). EU must act on unprecedented Mythos threat. Renew Europe Group. https://www.reneweuropegroup.eu/news/2026-05-19/eu-must-act-on-unprecedented-mythos-threat</w:t>
      </w:r>
      <w:r>
        <w:t xml:space="preserve"> </w:t>
      </w:r>
      <w:r>
        <w:t xml:space="preserve">[14] Anthropic. (2026, April 7). Project Glasswing: Securing critical software for the AI era. Anthropic. https://www.anthropic.com/glasswing</w:t>
      </w:r>
    </w:p>
    <w:p>
      <w:r>
        <w:pict>
          <v:rect style="width:0;height:1.5pt" o:hralign="center" o:hrstd="t" o:hr="t"/>
        </w:pict>
      </w:r>
    </w:p>
    <w:bookmarkEnd w:id="16"/>
    <w:bookmarkEnd w:id="17"/>
    <w:bookmarkStart w:id="19" w:name="三科技与产业"/>
    <w:p>
      <w:pPr>
        <w:pStyle w:val="Heading2"/>
      </w:pPr>
      <w:r>
        <w:rPr>
          <w:rFonts w:hint="eastAsia"/>
        </w:rPr>
        <w:t xml:space="preserve">三、科技与产业</w:t>
      </w:r>
    </w:p>
    <w:bookmarkStart w:id="18" w:name="欧盟数字综合法推迟高风险ai规则12月起禁脱衣应用"/>
    <w:p>
      <w:pPr>
        <w:pStyle w:val="Heading3"/>
      </w:pPr>
      <w:r>
        <w:rPr>
          <w:rFonts w:hint="eastAsia"/>
        </w:rPr>
        <w:t xml:space="preserve">欧盟数字综合法推迟高风险AI规则，12月起禁脱衣应用</w:t>
      </w:r>
    </w:p>
    <w:p>
      <w:pPr>
        <w:pStyle w:val="FirstParagraph"/>
      </w:pPr>
      <w:r>
        <w:rPr>
          <w:rFonts w:hint="eastAsia"/>
        </w:rPr>
        <w:t xml:space="preserve">欧盟成员国政府与议会5月7日就AI法案数字综合修正案（Digital</w:t>
      </w:r>
      <w:r>
        <w:t xml:space="preserve"> Omnibus on </w:t>
      </w:r>
      <w:r>
        <w:rPr>
          <w:rFonts w:hint="eastAsia"/>
        </w:rPr>
        <w:t xml:space="preserve">AI）达成临时协议，5月20日各方仍在持续解读。这是2024年6月《AI法案》通过以来的首轮修订，影响面广。</w:t>
      </w:r>
    </w:p>
    <w:p>
      <w:pPr>
        <w:pStyle w:val="BodyText"/>
      </w:pPr>
      <w:r>
        <w:rPr>
          <w:rFonts w:hint="eastAsia"/>
        </w:rPr>
        <w:t xml:space="preserve">最核心的变动是推迟高风险AI规则。原先定于2026年8月2日生效、覆盖生物识别、关键基础设施、执法、就业、教育、边境管理等11个敏感领域的条款，将延后至2027年12月2日适用于独立系统、至2028年8月2日适用于嵌入式系统。提供方水印义务也推迟至2026年12月2日。中小企业豁免门槛由250人放宽至500人。</w:t>
      </w:r>
    </w:p>
    <w:p>
      <w:pPr>
        <w:pStyle w:val="BodyText"/>
      </w:pPr>
      <w:r>
        <w:rPr>
          <w:rFonts w:hint="eastAsia"/>
        </w:rPr>
        <w:t xml:space="preserve">修订并非全面松绑。综合法首次在欧盟层面全面禁止AI生成、未经同意的可识别真人露骨图像，涵盖儿童性虐待材料（CSAM）。该禁令将于2026年12月2日生效，违规最高可罚3500万欧元或全球营业额的7%。5月初围绕梅洛尼的AI伪造图像事件，被认为加速了这一条款的落地。</w:t>
      </w:r>
    </w:p>
    <w:p>
      <w:pPr>
        <w:pStyle w:val="BodyText"/>
      </w:pPr>
      <w:r>
        <w:rPr>
          <w:rFonts w:hint="eastAsia"/>
        </w:rPr>
        <w:t xml:space="preserve">文本须于2026年8月2日前正式通过方可生效。</w:t>
      </w:r>
    </w:p>
    <w:p>
      <w:pPr>
        <w:pStyle w:val="BodyText"/>
      </w:pPr>
      <w:r>
        <w:rPr>
          <w:b/>
          <w:bCs/>
        </w:rPr>
        <w:t xml:space="preserve">References</w:t>
      </w:r>
    </w:p>
    <w:p>
      <w:pPr>
        <w:pStyle w:val="BodyText"/>
      </w:pPr>
      <w:r>
        <w:t xml:space="preserve">[15] Genovese, V. (2026, May 20). The EU simplifies the AI Act and bans nudifier apps. Euronews. https://www.euronews.com/my-europe/2026/05/20/the-eu-simplifies-the-ai-act-and-bans-nudifier-apps</w:t>
      </w:r>
      <w:r>
        <w:t xml:space="preserve"> </w:t>
      </w:r>
      <w:r>
        <w:t xml:space="preserve">[16] Council of the EU. (2026, May 7). Artificial intelligence: Council and Parliament agree to simplify and streamline rules. Consilium. https://www.consilium.europa.eu/en/press/press-releases/2026/05/07/artificial-intelligence-council-and-parliament-agree-to-simplify-and-streamline-rules/</w:t>
      </w:r>
    </w:p>
    <w:p>
      <w:pPr>
        <w:pStyle w:val="BodyText"/>
      </w:pPr>
      <w:r>
        <w:rPr>
          <w:rFonts w:hint="eastAsia"/>
          <w:i/>
          <w:iCs/>
        </w:rPr>
        <w:t xml:space="preserve">注：本分类当日仅检索到</w:t>
      </w:r>
      <w:r>
        <w:rPr>
          <w:i/>
          <w:iCs/>
        </w:rPr>
        <w:t xml:space="preserve"> 1 </w:t>
      </w:r>
      <w:r>
        <w:rPr>
          <w:rFonts w:hint="eastAsia"/>
          <w:i/>
          <w:iCs/>
        </w:rPr>
        <w:t xml:space="preserve">条符合</w:t>
      </w:r>
      <w:r>
        <w:rPr>
          <w:i/>
          <w:iCs/>
        </w:rPr>
        <w:t xml:space="preserve"> T1-T4 </w:t>
      </w:r>
      <w:r>
        <w:rPr>
          <w:rFonts w:hint="eastAsia"/>
          <w:i/>
          <w:iCs/>
        </w:rPr>
        <w:t xml:space="preserve">标准的新闻。</w:t>
      </w:r>
    </w:p>
    <w:p>
      <w:r>
        <w:pict>
          <v:rect style="width:0;height:1.5pt" o:hralign="center" o:hrstd="t" o:hr="t"/>
        </w:pict>
      </w:r>
    </w:p>
    <w:bookmarkEnd w:id="18"/>
    <w:bookmarkEnd w:id="19"/>
    <w:bookmarkStart w:id="22" w:name="四社会与民生"/>
    <w:p>
      <w:pPr>
        <w:pStyle w:val="Heading2"/>
      </w:pPr>
      <w:r>
        <w:rPr>
          <w:rFonts w:hint="eastAsia"/>
        </w:rPr>
        <w:t xml:space="preserve">四、社会与民生</w:t>
      </w:r>
    </w:p>
    <w:bookmarkStart w:id="20" w:name="ecdc通报洪迪乌斯号游轮11例安第斯汉坦病毒感染3人死亡"/>
    <w:p>
      <w:pPr>
        <w:pStyle w:val="Heading3"/>
      </w:pPr>
      <w:r>
        <w:rPr>
          <w:rFonts w:hint="eastAsia"/>
        </w:rPr>
        <w:t xml:space="preserve">ECDC通报洪迪乌斯号游轮11例安第斯汉坦病毒感染，3人死亡</w:t>
      </w:r>
    </w:p>
    <w:p>
      <w:pPr>
        <w:pStyle w:val="FirstParagraph"/>
      </w:pPr>
      <w:r>
        <w:rPr>
          <w:rFonts w:hint="eastAsia"/>
        </w:rPr>
        <w:t xml:space="preserve">欧洲疾病预防控制中心（ECDC）5月20日通报，与荷兰船籍邮轮洪迪乌斯号（MV</w:t>
      </w:r>
      <w:r>
        <w:t xml:space="preserve"> </w:t>
      </w:r>
      <w:r>
        <w:rPr>
          <w:rFonts w:hint="eastAsia"/>
        </w:rPr>
        <w:t xml:space="preserve">Hondius）相关的安第斯汉坦病毒感染累计达11例（9例确诊、2例疑似），3人死亡，自上一次每日通报以来未新增病例。该聚集性事件最早于5月2日上报欧委会，邮轮5月18日抵鹿特丹时船上仍有25名船员和2名医护，乘客与船员来自23个国家，其中9国属欧盟/欧洲经济区。</w:t>
      </w:r>
    </w:p>
    <w:p>
      <w:pPr>
        <w:pStyle w:val="BodyText"/>
      </w:pPr>
      <w:r>
        <w:rPr>
          <w:rFonts w:hint="eastAsia"/>
        </w:rPr>
        <w:t xml:space="preserve">安第斯病毒是已知唯一具备人传人能力的汉坦病毒毒株。一项针对1995年至2018年阿根廷700余例汉坦病毒感染的研究显示，约2.5%源自人际传播；2018至2019年阿根廷埃普岩（Epuyén）暴发的超级传播事件中，3名症状期患者参加聚会，最终引发34例感染、11人死亡。这一历史背景解释了欧洲卫生机构的高度警觉。</w:t>
      </w:r>
    </w:p>
    <w:p>
      <w:pPr>
        <w:pStyle w:val="BodyText"/>
      </w:pPr>
      <w:r>
        <w:rPr>
          <w:rFonts w:hint="eastAsia"/>
        </w:rPr>
        <w:t xml:space="preserve">ECDC评估对欧洲一般人群的风险为“非常低”，但已联动法国、荷兰、希腊、爱尔兰开展撤离协调，特内里费南机场被设为枢纽。该病通常通过齧齒动物排泄物气溶胶传播，潜伏期数日至六周，典型症状为发热、肠胃不适并迅速进展为肺炎、急性呼吸窘迫综合征和休克。</w:t>
      </w:r>
    </w:p>
    <w:p>
      <w:pPr>
        <w:pStyle w:val="BodyText"/>
      </w:pPr>
      <w:r>
        <w:rPr>
          <w:b/>
          <w:bCs/>
        </w:rPr>
        <w:t xml:space="preserve">References</w:t>
      </w:r>
    </w:p>
    <w:p>
      <w:pPr>
        <w:pStyle w:val="BodyText"/>
      </w:pPr>
      <w:r>
        <w:t xml:space="preserve">[17] European Centre for Disease Prevention and Control. (2026, May 20). Andes hantavirus outbreak — surveillance and updates. ECDC. https://www.ecdc.europa.eu/en/infectious-disease-topics/hantavirus-infection/surveillance-and-updates/andes-hantavirus-outbreak</w:t>
      </w:r>
      <w:r>
        <w:t xml:space="preserve"> </w:t>
      </w:r>
      <w:r>
        <w:t xml:space="preserve">[18] World Health Organization. (2026, May). Hantavirus cluster linked to cruise ship travel, multi-country. WHO Disease Outbreak News. https://www.who.int/emergencies/disease-outbreak-news/item/2026-DON599</w:t>
      </w:r>
    </w:p>
    <w:p>
      <w:r>
        <w:pict>
          <v:rect style="width:0;height:1.5pt" o:hralign="center" o:hrstd="t" o:hr="t"/>
        </w:pict>
      </w:r>
    </w:p>
    <w:bookmarkEnd w:id="20"/>
    <w:bookmarkStart w:id="21" w:name="欧委会推化肥行动计划应对涨价cbam不撤农民围堵议会"/>
    <w:p>
      <w:pPr>
        <w:pStyle w:val="Heading3"/>
      </w:pPr>
      <w:r>
        <w:rPr>
          <w:rFonts w:hint="eastAsia"/>
        </w:rPr>
        <w:t xml:space="preserve">欧委会推化肥行动计划应对涨价，CBAM不撤，农民围堵议会</w:t>
      </w:r>
    </w:p>
    <w:p>
      <w:pPr>
        <w:pStyle w:val="FirstParagraph"/>
      </w:pPr>
      <w:r>
        <w:rPr>
          <w:rFonts w:hint="eastAsia"/>
        </w:rPr>
        <w:t xml:space="preserve">欧委会5月19日通过《化肥行动计划》，农业专员汉森（Christophe</w:t>
      </w:r>
      <w:r>
        <w:t xml:space="preserve"> </w:t>
      </w:r>
      <w:r>
        <w:rPr>
          <w:rFonts w:hint="eastAsia"/>
        </w:rPr>
        <w:t xml:space="preserve">Hansen）5月18至21日全会周向欧洲议会议员宣讲；数百名农民同期在议会外抗议。化肥价格自2021年以来剧烈波动，2026年4月氮肥价格较2024年均值高出71%，主因是中东战事与伊朗对外供应中断。</w:t>
      </w:r>
    </w:p>
    <w:p>
      <w:pPr>
        <w:pStyle w:val="BodyText"/>
      </w:pPr>
      <w:r>
        <w:rPr>
          <w:rFonts w:hint="eastAsia"/>
        </w:rPr>
        <w:t xml:space="preserve">计划核心是为共同农业政策（CAP）危机储备拨款2亿欧元。汉森表示金额“至少需要在此基础上翻一番”仍属必要，并将“在夏季之前、即农民需要决定下一季种植何种作物之时”提出补充金融工具方案。CAP当前七年期总盘为63亿欧元。循环生物经济联合体（CBE</w:t>
      </w:r>
      <w:r>
        <w:t xml:space="preserve"> </w:t>
      </w:r>
      <w:r>
        <w:rPr>
          <w:rFonts w:hint="eastAsia"/>
        </w:rPr>
        <w:t xml:space="preserve">JU）负责人贾科穆齐-穆尔（Nicoló</w:t>
      </w:r>
      <w:r>
        <w:t xml:space="preserve"> </w:t>
      </w:r>
      <w:r>
        <w:rPr>
          <w:rFonts w:hint="eastAsia"/>
        </w:rPr>
        <w:t xml:space="preserve">Giacomuzzi-Moore）测算，生物基替代品可替代20%至40%的合成养分用量。</w:t>
      </w:r>
    </w:p>
    <w:p>
      <w:pPr>
        <w:pStyle w:val="BodyText"/>
      </w:pPr>
      <w:r>
        <w:rPr>
          <w:rFonts w:hint="eastAsia"/>
        </w:rPr>
        <w:t xml:space="preserve">最受市场关注的是碳边境调整机制（CBAM）的去留。CBAM覆盖约45%的欧盟化肥进口，2026年1月1日已进入正式征收期。法国、意大利等国要求暂停对化肥适用CBAM，汉森一口否决，称撤销CBAM是“看似有理的馊主意”。爱尔兰革新党议员凯莱赫（Billy</w:t>
      </w:r>
      <w:r>
        <w:t xml:space="preserve"> </w:t>
      </w:r>
      <w:r>
        <w:rPr>
          <w:rFonts w:hint="eastAsia"/>
        </w:rPr>
        <w:t xml:space="preserve">Kelleher）替农民代言：“化肥价格上涨正通过食品通胀给农民和生活成本带来巨大压力。”欧委会的折中思路是保留碳价、辅以补贴与紧急刹车机制——后者已于年初发布指导文件，允许在市场严重失衡时临时暂停CBAM对特定商品的适用。</w:t>
      </w:r>
    </w:p>
    <w:p>
      <w:pPr>
        <w:pStyle w:val="BodyText"/>
      </w:pPr>
      <w:r>
        <w:rPr>
          <w:b/>
          <w:bCs/>
        </w:rPr>
        <w:t xml:space="preserve">References</w:t>
      </w:r>
    </w:p>
    <w:p>
      <w:pPr>
        <w:pStyle w:val="BodyText"/>
      </w:pPr>
      <w:r>
        <w:t xml:space="preserve">[19] Liboreiro, J. (2026, May 19). EU’s fertiliser rescue plan aims to prevent another farm uprising. Euronews. https://www.euronews.com/my-europe/2026/05/19/eus-fertiliser-rescue-plan-aims-to-prevent-another-farm-uprising</w:t>
      </w:r>
      <w:r>
        <w:t xml:space="preserve"> </w:t>
      </w:r>
      <w:r>
        <w:t xml:space="preserve">[20] S&amp;P Global. (2026, January 8). EU publishes CBAM emergency brake guidance after fertilizer backlash. S&amp;P Global. https://www.spglobal.com/energy/en/news-research/latest-news/energy-transition/010826-eu-publishes-cbam-emergency-brake-guidance-after-fertilizer-backlash</w:t>
      </w:r>
    </w:p>
    <w:p>
      <w:pPr>
        <w:pStyle w:val="BodyText"/>
      </w:pPr>
      <w:r>
        <w:rPr>
          <w:rFonts w:hint="eastAsia"/>
          <w:i/>
          <w:iCs/>
        </w:rPr>
        <w:t xml:space="preserve">注：本分类当日仅检索到</w:t>
      </w:r>
      <w:r>
        <w:rPr>
          <w:i/>
          <w:iCs/>
        </w:rPr>
        <w:t xml:space="preserve"> 2 </w:t>
      </w:r>
      <w:r>
        <w:rPr>
          <w:rFonts w:hint="eastAsia"/>
          <w:i/>
          <w:iCs/>
        </w:rPr>
        <w:t xml:space="preserve">条符合</w:t>
      </w:r>
      <w:r>
        <w:rPr>
          <w:i/>
          <w:iCs/>
        </w:rPr>
        <w:t xml:space="preserve"> T1-T4 </w:t>
      </w:r>
      <w:r>
        <w:rPr>
          <w:rFonts w:hint="eastAsia"/>
          <w:i/>
          <w:iCs/>
        </w:rPr>
        <w:t xml:space="preserve">标准的新闻。</w:t>
      </w:r>
    </w:p>
    <w:p>
      <w:r>
        <w:pict>
          <v:rect style="width:0;height:1.5pt" o:hralign="center" o:hrstd="t" o:hr="t"/>
        </w:pict>
      </w:r>
    </w:p>
    <w:bookmarkEnd w:id="21"/>
    <w:bookmarkEnd w:id="22"/>
    <w:bookmarkStart w:id="25" w:name="五其他重要事件"/>
    <w:p>
      <w:pPr>
        <w:pStyle w:val="Heading2"/>
      </w:pPr>
      <w:r>
        <w:rPr>
          <w:rFonts w:hint="eastAsia"/>
        </w:rPr>
        <w:t xml:space="preserve">五、其他重要事件</w:t>
      </w:r>
    </w:p>
    <w:bookmarkStart w:id="23" w:name="弗赖堡迎首个欧洲大赛决赛伊斯坦布尔对阵阿斯顿维拉"/>
    <w:p>
      <w:pPr>
        <w:pStyle w:val="Heading3"/>
      </w:pPr>
      <w:r>
        <w:rPr>
          <w:rFonts w:hint="eastAsia"/>
        </w:rPr>
        <w:t xml:space="preserve">弗赖堡迎首个欧洲大赛决赛，伊斯坦布尔对阵阿斯顿维拉</w:t>
      </w:r>
    </w:p>
    <w:p>
      <w:pPr>
        <w:pStyle w:val="FirstParagraph"/>
      </w:pPr>
      <w:r>
        <w:rPr>
          <w:rFonts w:hint="eastAsia"/>
        </w:rPr>
        <w:t xml:space="preserve">2025-26赛季欧足联欧罗巴联赛决赛5月20日在伊斯坦布尔贝西克塔斯公园球场（沃达丰公园）开打，当地时间21时（中欧20时／英国19时）开球。这是弗赖堡历史上首次跻身任何一项欧洲赛事决赛，也是阿斯顿维拉自1982年问鼎欧洲冠军杯之后的首次欧洲决赛；两队此前从未在欧洲赛场交锋。</w:t>
      </w:r>
    </w:p>
    <w:p>
      <w:pPr>
        <w:pStyle w:val="BodyText"/>
      </w:pPr>
      <w:r>
        <w:rPr>
          <w:rFonts w:hint="eastAsia"/>
        </w:rPr>
        <w:t xml:space="preserve">阿斯顿维拉的晋级路径包括十六强淘汰里尔、八强战胜博洛尼亚、半决赛击败诺丁汉森林；弗赖堡则由舒斯特（Julian</w:t>
      </w:r>
      <w:r>
        <w:t xml:space="preserve"> </w:t>
      </w:r>
      <w:r>
        <w:rPr>
          <w:rFonts w:hint="eastAsia"/>
        </w:rPr>
        <w:t xml:space="preserve">Schuster）执掌、首次踏上欧战决赛舞台。维拉在英超以第四完赛，已锁定下赛季欧冠席位；本场胜者若未通过本国联赛取得欧冠资格，也将获2026-27赛季欧冠正赛席位。赛事预计全球观众逾2亿。</w:t>
      </w:r>
    </w:p>
    <w:p>
      <w:pPr>
        <w:pStyle w:val="BodyText"/>
      </w:pPr>
      <w:r>
        <w:rPr>
          <w:b/>
          <w:bCs/>
        </w:rPr>
        <w:t xml:space="preserve">References</w:t>
      </w:r>
    </w:p>
    <w:p>
      <w:pPr>
        <w:pStyle w:val="BodyText"/>
      </w:pPr>
      <w:r>
        <w:t xml:space="preserve">[21] UEFA. (2026, May 20). 2026 UEFA Europa League final — Freiburg vs Aston Villa. UEFA. https://www.uefa.com/uefaeuropaleague/match/2047743–freiburg-vs-aston-villa/final/</w:t>
      </w:r>
      <w:r>
        <w:t xml:space="preserve"> </w:t>
      </w:r>
      <w:r>
        <w:t xml:space="preserve">[22] Karagounis, A. (2026, May 19). Aston Villa vs Freiburg: A historic Europa League final in Istanbul. Türkiye Today. https://www.turkiyetoday.com/sports/istanbul-calling-aston-villa-freiburg-set-for-europe-league-glory-3220325</w:t>
      </w:r>
    </w:p>
    <w:p>
      <w:r>
        <w:pict>
          <v:rect style="width:0;height:1.5pt" o:hralign="center" o:hrstd="t" o:hr="t"/>
        </w:pict>
      </w:r>
    </w:p>
    <w:bookmarkEnd w:id="23"/>
    <w:bookmarkStart w:id="24" w:name="阿森纳22年再夺英超冠军阿尔特塔成俱乐部首位英超冠军主帅"/>
    <w:p>
      <w:pPr>
        <w:pStyle w:val="Heading3"/>
      </w:pPr>
      <w:r>
        <w:rPr>
          <w:rFonts w:hint="eastAsia"/>
        </w:rPr>
        <w:t xml:space="preserve">阿森纳22年再夺英超冠军，阿尔特塔成俱乐部首位英超冠军主帅</w:t>
      </w:r>
    </w:p>
    <w:p>
      <w:pPr>
        <w:pStyle w:val="FirstParagraph"/>
      </w:pPr>
      <w:r>
        <w:rPr>
          <w:rFonts w:hint="eastAsia"/>
        </w:rPr>
        <w:t xml:space="preserve">曼城5月19日客场1比1战平伯恩茅斯，提前一轮将2025-26赛季英超冠军交到阿森纳手上；前一晚阿森纳1比0击败伯恩利已锁定争冠主动权。这是俱乐部第14个英格兰顶级联赛冠军、第4个英超时代冠军，也是自2003-04赛季不败之师在温格率领下加冕以来，22年来首次。</w:t>
      </w:r>
    </w:p>
    <w:p>
      <w:pPr>
        <w:pStyle w:val="BodyText"/>
      </w:pPr>
      <w:r>
        <w:rPr>
          <w:rFonts w:hint="eastAsia"/>
        </w:rPr>
        <w:t xml:space="preserve">那支被誉为Invincibles的球队以38场不败、28胜10平的方式垫定阿森纳的当代神话，整段不败纪录跨三个赛季延续至49场。22年间，阿森纳数次接近王座、数次折戟。阿尔特塔由此成为俱乐部历史上首位赢得英超冠军的主帅，他执教的核心阵容包括哈弗茨、萨卡和赖斯。</w:t>
      </w:r>
    </w:p>
    <w:p>
      <w:pPr>
        <w:pStyle w:val="BodyText"/>
      </w:pPr>
      <w:r>
        <w:rPr>
          <w:rFonts w:hint="eastAsia"/>
        </w:rPr>
        <w:t xml:space="preserve">球队的赛季尚未收尾。5月30日，阿森纳将在布达佩斯普斯卡什球场迎来欧冠决赛，对手是卫冕冠军巴黎圣日耳曼——这是俱乐部自2006年之后首度晋级欧冠决赛。</w:t>
      </w:r>
    </w:p>
    <w:p>
      <w:pPr>
        <w:pStyle w:val="BodyText"/>
      </w:pPr>
      <w:r>
        <w:rPr>
          <w:b/>
          <w:bCs/>
        </w:rPr>
        <w:t xml:space="preserve">References</w:t>
      </w:r>
    </w:p>
    <w:p>
      <w:pPr>
        <w:pStyle w:val="BodyText"/>
      </w:pPr>
      <w:r>
        <w:t xml:space="preserve">[23] Reuters. (2026, May 20). Arsenal wins the Premier League, ending 22-year wait after Manchester City draws with Bournemouth. Euronews. https://www.euronews.com/2026/05/20/arsenal-wins-the-premier-league-ending-22-year-wait-after-manchester-city-draws-with-bourn</w:t>
      </w:r>
      <w:r>
        <w:t xml:space="preserve"> </w:t>
      </w:r>
      <w:r>
        <w:t xml:space="preserve">[24] Arsenal FC. (n.d.). Explainer: Arsenal’s 2003/04 Invincibles. Arsenal.com. https://www.arsenal.com/news/explainer-arsenals-200304-invincibles</w:t>
      </w:r>
    </w:p>
    <w:bookmarkEnd w:id="24"/>
    <w:bookmarkEnd w:id="25"/>
    <w:bookmarkEnd w:id="2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2026-05-20T12:59:55Z</dcterms:created>
  <dcterms:modified xsi:type="dcterms:W3CDTF">2026-05-20T12:59:55Z</dcterms:modified>
</cp:coreProperties>
</file>

<file path=docProps/custom.xml><?xml version="1.0" encoding="utf-8"?>
<Properties xmlns="http://schemas.openxmlformats.org/officeDocument/2006/custom-properties" xmlns:vt="http://schemas.openxmlformats.org/officeDocument/2006/docPropsVTypes"/>
</file>