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中国每日热点新闻-2026年6月29日"/>
    <w:p>
      <w:pPr>
        <w:pStyle w:val="Heading1"/>
      </w:pPr>
      <w:r>
        <w:rPr>
          <w:rFonts w:hint="eastAsia"/>
        </w:rPr>
        <w:t xml:space="preserve">中国每日热点新闻</w:t>
      </w:r>
      <w:r>
        <w:t xml:space="preserve"> — </w:t>
      </w:r>
      <w:r>
        <w:rPr>
          <w:rFonts w:hint="eastAsia"/>
        </w:rPr>
        <w:t xml:space="preserve">2026年6月29日</w:t>
      </w:r>
    </w:p>
    <w:bookmarkStart w:id="12" w:name="一经济与市场"/>
    <w:p>
      <w:pPr>
        <w:pStyle w:val="Heading2"/>
      </w:pPr>
      <w:r>
        <w:rPr>
          <w:rFonts w:hint="eastAsia"/>
        </w:rPr>
        <w:t xml:space="preserve">一、经济与市场</w:t>
      </w:r>
    </w:p>
    <w:bookmarkStart w:id="9" w:name="央行首推隔夜逆回购1.25利率变相降息"/>
    <w:p>
      <w:pPr>
        <w:pStyle w:val="Heading3"/>
      </w:pPr>
      <w:r>
        <w:rPr>
          <w:rFonts w:hint="eastAsia"/>
        </w:rPr>
        <w:t xml:space="preserve">央行首推隔夜逆回购，1.25%利率变相降息</w:t>
      </w:r>
    </w:p>
    <w:p>
      <w:pPr>
        <w:pStyle w:val="FirstParagraph"/>
      </w:pPr>
      <w:r>
        <w:rPr>
          <w:rFonts w:hint="eastAsia"/>
        </w:rPr>
        <w:t xml:space="preserve">中国人民银行6月29日首次开展隔夜逆回购操作，向金融机构投放3000亿元（约441亿美元）。据市场消息，本次操作利率定在1.25%，较7天期逆回购的1.40%低15个基点。这是央行工具箱中此前从未有过的期限品种，落在隔夜利率上意味着银行间最短端资金成本被实质性下调，市场普遍解读为一次变相降息。</w:t>
      </w:r>
    </w:p>
    <w:p>
      <w:pPr>
        <w:pStyle w:val="BodyText"/>
      </w:pPr>
      <w:r>
        <w:rPr>
          <w:rFonts w:hint="eastAsia"/>
        </w:rPr>
        <w:t xml:space="preserve">操作选在二季度最后一个交易日落地——季末通常是资金面最紧的时点，银行为应对监管考核大量囤积流动性，隔夜利率容易剧烈跳升。一个隔夜工具让央行可以精准熨平这类短期波动，而不必动用更宏观的政策信号、引发全球市场误读。</w:t>
      </w:r>
    </w:p>
    <w:p>
      <w:pPr>
        <w:pStyle w:val="BodyText"/>
      </w:pPr>
      <w:r>
        <w:rPr>
          <w:rFonts w:hint="eastAsia"/>
        </w:rPr>
        <w:t xml:space="preserve">央行在公告中并未官方披露操作利率，1.25%的数字由路透援引市场消息透出。这种“做而不宣”的处理本身是新框架的一部分：央行近期一直在推动货币政策从数量型向价格型转型，以7天期逆回购利率作为主要政策利率锚，新增隔夜品种被定位为辅助调节短端、提升利率传导精度的工具，而非新增一个政策利率信号。彭博6月25日的报道已预告这一隔夜工具即将落地，是政策框架转型的“下一步”。</w:t>
      </w:r>
    </w:p>
    <w:p>
      <w:pPr>
        <w:pStyle w:val="BodyText"/>
      </w:pPr>
      <w:r>
        <w:rPr>
          <w:b/>
          <w:bCs/>
        </w:rPr>
        <w:t xml:space="preserve">References</w:t>
      </w:r>
    </w:p>
    <w:p>
      <w:pPr>
        <w:pStyle w:val="BodyText"/>
      </w:pPr>
      <w:r>
        <w:t xml:space="preserve">[1] Investing.com. (2026, June 29). China debuts overnight reverse repos at 1.25%, sources say. Investing.com. https://www.investing.com/news/economy-news/china-debuts-overnight-reverse-repos-at-125-sources-say-4764218</w:t>
      </w:r>
      <w:r>
        <w:t xml:space="preserve"> </w:t>
      </w:r>
      <w:r>
        <w:t xml:space="preserve">[2] Bloomberg. (2026, June 29). China central bank debuts overnight operation, surprises with no rate released. Bloomberg. https://www.bloomberg.com/news/articles/2026-06-29/china-central-bank-debuts-overnight-operation-surprises-with-no-rate-released</w:t>
      </w:r>
      <w:r>
        <w:t xml:space="preserve"> </w:t>
      </w:r>
      <w:r>
        <w:t xml:space="preserve">[3] Bloomberg. (2026, June 25). PBOC plans overnight reverse repo in next stage of policy shift. Bloomberg. https://www.bloomberg.com/news/articles/2026-06-25/pboc-plans-overnight-reverse-repo-in-next-stage-of-policy-shift</w:t>
      </w:r>
    </w:p>
    <w:p>
      <w:r>
        <w:pict>
          <v:rect style="width:0;height:1.5pt" o:hralign="center" o:hrstd="t" o:hr="t"/>
        </w:pict>
      </w:r>
    </w:p>
    <w:bookmarkEnd w:id="9"/>
    <w:bookmarkStart w:id="10" w:name="中国称科技高增长令能源需求预测变难"/>
    <w:p>
      <w:pPr>
        <w:pStyle w:val="Heading3"/>
      </w:pPr>
      <w:r>
        <w:rPr>
          <w:rFonts w:hint="eastAsia"/>
        </w:rPr>
        <w:t xml:space="preserve">中国称科技高增长令能源需求预测变难</w:t>
      </w:r>
    </w:p>
    <w:p>
      <w:pPr>
        <w:pStyle w:val="FirstParagraph"/>
      </w:pPr>
      <w:r>
        <w:rPr>
          <w:rFonts w:hint="eastAsia"/>
        </w:rPr>
        <w:t xml:space="preserve">中国政府6月29日表示，科技产业的高速增长正令能源需求预测变得更加困难。官方点名人工智能、电动汽车和新兴技术，称这些领域带来了结构性的用电变化，使得过去基于工业产出推算电力消费的旧模型失灵。</w:t>
      </w:r>
    </w:p>
    <w:p>
      <w:pPr>
        <w:pStyle w:val="BodyText"/>
      </w:pPr>
      <w:r>
        <w:rPr>
          <w:rFonts w:hint="eastAsia"/>
        </w:rPr>
        <w:t xml:space="preserve">这一表态与中国能源结构的现实压力相互印证。据Kpler跟踪数据，中国6月液化天然气（LNG）进口量预计约为529万吨，与去年同期大体持平——在经济增速整体放缓的背景下，传统工业用能并未明显回升，但数据中心和AI算力正成为新的、波动更大的用电增量来源。生成式AI推动算力中心电力需求激增，是中国今年发布“十五五”新型能源体系建设规划（2026—2030年）的直接背景之一，该规划已把AI电力保障列为国家级优先事项。</w:t>
      </w:r>
    </w:p>
    <w:p>
      <w:pPr>
        <w:pStyle w:val="BodyText"/>
      </w:pPr>
      <w:r>
        <w:rPr>
          <w:rFonts w:hint="eastAsia"/>
        </w:rPr>
        <w:t xml:space="preserve">预测难度的根源在于负载特性不同。工业用电相对平稳可测，而AI训练集群的功率峰值高、波动剧烈，叠加电动汽车充电的分布式增长，使电网调度和燃料采购都更难提前锁定。国际能源署测算，到2030年数据中心新增能耗中仍将有约四成依靠燃气和燃煤供应，意味着即便可再生能源占比上升，天然气进口的需求弹性也会随算力扩张而放大。</w:t>
      </w:r>
    </w:p>
    <w:p>
      <w:pPr>
        <w:pStyle w:val="BodyText"/>
      </w:pPr>
      <w:r>
        <w:rPr>
          <w:b/>
          <w:bCs/>
        </w:rPr>
        <w:t xml:space="preserve">References</w:t>
      </w:r>
    </w:p>
    <w:p>
      <w:pPr>
        <w:pStyle w:val="BodyText"/>
      </w:pPr>
      <w:r>
        <w:t xml:space="preserve">[4] Bloomberg. (2026, June 29). China says tech growth a challenge to predicting energy demand. Bloomberg. https://www.bloomberg.com/news/articles/2026-06-29/china-says-tech-growth-a-challenge-to-predicting-energy-demand</w:t>
      </w:r>
      <w:r>
        <w:t xml:space="preserve"> </w:t>
      </w:r>
      <w:r>
        <w:t xml:space="preserve">[5] Digitimes. (2026, June 29). China makes AI power a national priority in new five-year energy plan. Digitimes. https://www.digitimes.com/news/a20260629PD218/electricity-genai-demand-infrastructure-data.html</w:t>
      </w:r>
    </w:p>
    <w:p>
      <w:r>
        <w:pict>
          <v:rect style="width:0;height:1.5pt" o:hralign="center" o:hrstd="t" o:hr="t"/>
        </w:pict>
      </w:r>
    </w:p>
    <w:bookmarkEnd w:id="10"/>
    <w:bookmarkStart w:id="11" w:name="国资开发商撑起深圳工地行业分化加深"/>
    <w:p>
      <w:pPr>
        <w:pStyle w:val="Heading3"/>
      </w:pPr>
      <w:r>
        <w:rPr>
          <w:rFonts w:hint="eastAsia"/>
        </w:rPr>
        <w:t xml:space="preserve">国资开发商撑起深圳工地，行业分化加深</w:t>
      </w:r>
    </w:p>
    <w:p>
      <w:pPr>
        <w:pStyle w:val="FirstParagraph"/>
      </w:pPr>
      <w:r>
        <w:rPr>
          <w:rFonts w:hint="eastAsia"/>
        </w:rPr>
        <w:t xml:space="preserve">在民营房企普遍停工、违约的背景下，国有开发商正独力支撑深圳的在建工程。据日经亚洲报道，国资背景的房企填补了陷入困境的民营开发商留下的空缺，是当前深圳建筑活动得以维持的主要力量。</w:t>
      </w:r>
    </w:p>
    <w:p>
      <w:pPr>
        <w:pStyle w:val="BodyText"/>
      </w:pPr>
      <w:r>
        <w:rPr>
          <w:rFonts w:hint="eastAsia"/>
        </w:rPr>
        <w:t xml:space="preserve">这一画面凸显出中国楼市内部日益悬殊的分化。一边是国资房企——背靠地方政府和国有银行，融资渠道相对通畅，仍有能力开工、交付；另一边是民营开发商，碧桂园、恒大、融创等曾经的行业巨头接连暴雷，整个板块从2018年占GDP约24%的峰值，回落到2024年的约19%。</w:t>
      </w:r>
    </w:p>
    <w:p>
      <w:pPr>
        <w:pStyle w:val="BodyText"/>
      </w:pPr>
      <w:r>
        <w:rPr>
          <w:rFonts w:hint="eastAsia"/>
        </w:rPr>
        <w:t xml:space="preserve">分化的临界点已逼近“健康”阵营。今年此前一度被视为最稳健国资样本的万科请求展期偿债，标普将其评级下调至“选择性违约”，认定其延长债券兑付期等同于困境债务重组。全国新建商品房价格已较2021年峰值下跌两成以上，2025年前11个月新房销售额同比下降11.2%。深圳工地上仍在浇筑的塔吊，几乎清一色挂着国资的牌子。</w:t>
      </w:r>
    </w:p>
    <w:p>
      <w:pPr>
        <w:pStyle w:val="BodyText"/>
      </w:pPr>
      <w:r>
        <w:rPr>
          <w:b/>
          <w:bCs/>
        </w:rPr>
        <w:t xml:space="preserve">References</w:t>
      </w:r>
    </w:p>
    <w:p>
      <w:pPr>
        <w:pStyle w:val="BodyText"/>
      </w:pPr>
      <w:r>
        <w:t xml:space="preserve">[6] Nikkei Asia. (2026, June 29). China’s state developers power Shenzhen construction despite market woes. Nikkei Asia. https://asia.nikkei.com/business/markets/property/china-s-state-developers-power-shenzhen-construction-despite-market-woes</w:t>
      </w:r>
      <w:r>
        <w:t xml:space="preserve"> </w:t>
      </w:r>
      <w:r>
        <w:t xml:space="preserve">[7] South China Morning Post. (2026, June). China Vanke wins bondholders’ reprieve, averts default for now. South China Morning Post. https://www.scmp.com/business/china-business/article/3337405/china-vanke-wins-bondholders-reprieve-averts-default-now</w:t>
      </w:r>
      <w:r>
        <w:t xml:space="preserve"> </w:t>
      </w:r>
      <w:r>
        <w:t xml:space="preserve">[8] S&amp;P Global Ratings. (2025, December 23). China Vanke downgraded to</w:t>
      </w:r>
      <w:r>
        <w:t xml:space="preserve"> </w:t>
      </w:r>
      <w:r>
        <w:t xml:space="preserve">‘SD’</w:t>
      </w:r>
      <w:r>
        <w:t xml:space="preserve"> </w:t>
      </w:r>
      <w:r>
        <w:t xml:space="preserve">on completed distressed exchange. S&amp;P Global Ratings. https://www.spglobal.com/ratings/en/regulatory/article/-/view/type/HTML/id/3497866</w:t>
      </w:r>
    </w:p>
    <w:p>
      <w:r>
        <w:pict>
          <v:rect style="width:0;height:1.5pt" o:hralign="center" o:hrstd="t" o:hr="t"/>
        </w:pict>
      </w:r>
    </w:p>
    <w:bookmarkEnd w:id="11"/>
    <w:bookmarkEnd w:id="12"/>
    <w:bookmarkStart w:id="14" w:name="二政治与外交"/>
    <w:p>
      <w:pPr>
        <w:pStyle w:val="Heading2"/>
      </w:pPr>
      <w:r>
        <w:rPr>
          <w:rFonts w:hint="eastAsia"/>
        </w:rPr>
        <w:t xml:space="preserve">二、政治与外交</w:t>
      </w:r>
    </w:p>
    <w:bookmarkStart w:id="13" w:name="中俄第11次联合空中战略巡航日韩紧急升空拦截"/>
    <w:p>
      <w:pPr>
        <w:pStyle w:val="Heading3"/>
      </w:pPr>
      <w:r>
        <w:rPr>
          <w:rFonts w:hint="eastAsia"/>
        </w:rPr>
        <w:t xml:space="preserve">中俄第11次联合空中战略巡航，日韩紧急升空拦截</w:t>
      </w:r>
    </w:p>
    <w:p>
      <w:pPr>
        <w:pStyle w:val="FirstParagraph"/>
      </w:pPr>
      <w:r>
        <w:rPr>
          <w:rFonts w:hint="eastAsia"/>
        </w:rPr>
        <w:t xml:space="preserve">中俄两国6月28日至29日实施第11次联合空中战略巡航，出动逾10架军机，包括2架俄罗斯图-95战略轰炸机、2架图-142海上巡逻机、第一编队的2架中国轰-6轰炸机、随后的第二编队再增2架轰-6，以及歼-16护航战机和1架俄罗斯苏-35。机群飞经东海与日本海，进出韩国防空识别区（ADIZ），随后向太平洋方向飞至日本四国岛以东。</w:t>
      </w:r>
    </w:p>
    <w:p>
      <w:pPr>
        <w:pStyle w:val="BodyText"/>
      </w:pPr>
      <w:r>
        <w:rPr>
          <w:rFonts w:hint="eastAsia"/>
        </w:rPr>
        <w:t xml:space="preserve">日本航空自卫队西部航空方面队紧急升空应对，韩国军方同样派出战机拦截，并于6月29日向中俄两国驻首尔使馆提出外交抗议。日本防卫大臣小泉进次郎称，此次行动是中俄“活动范围扩大、强度提升”，是“针对我国的武力示威”。中国军方则表态，此举体现了双方“维护地区和平的共同决心和能力”。</w:t>
      </w:r>
    </w:p>
    <w:p>
      <w:pPr>
        <w:pStyle w:val="BodyText"/>
      </w:pPr>
      <w:r>
        <w:rPr>
          <w:rFonts w:hint="eastAsia"/>
        </w:rPr>
        <w:t xml:space="preserve">中俄联合空中战略巡航始于2019年7月——首次巡航中俄军机即飞越日本海与东海，当时韩国战机对一架据称侵入独岛上空领空的俄罗斯预警机鸣枪示警，发射20枚照明弹和360发机炮警告射击。此后这一机制大致每年举行，逐步常态化、机型升级，巡航航线不断向更敏感的海空域延伸。本次第11次巡航延续了这一节奏，恰逢中日关系因台海议题持续紧张之际。</w:t>
      </w:r>
    </w:p>
    <w:p>
      <w:pPr>
        <w:pStyle w:val="BodyText"/>
      </w:pPr>
      <w:r>
        <w:rPr>
          <w:b/>
          <w:bCs/>
        </w:rPr>
        <w:t xml:space="preserve">References</w:t>
      </w:r>
    </w:p>
    <w:p>
      <w:pPr>
        <w:pStyle w:val="BodyText"/>
      </w:pPr>
      <w:r>
        <w:t xml:space="preserve">[9] Koja, K. (2026, June 29). China, Japan ADIZ, South Korea, Russia aircraft. Stars and Stripes. https://www.stripes.com/theaters/asia_pacific/2026-06-29/china-japan-adiz-south-korea-russia-aircraft-22113024.html</w:t>
      </w:r>
      <w:r>
        <w:t xml:space="preserve"> </w:t>
      </w:r>
      <w:r>
        <w:t xml:space="preserve">[10] Bloomberg. (2026, June 29). Japan protests China maritime claims near southern island. Bloomberg. https://www.bloomberg.com/news/articles/2026-06-29/japan-protests-china-maritime-claims-near-southern-island</w:t>
      </w:r>
      <w:r>
        <w:t xml:space="preserve"> </w:t>
      </w:r>
      <w:r>
        <w:t xml:space="preserve">[11] The Diplomat. (2019, July). China, Russia conduct first ever joint strategic bomber patrol flights in Indo-Pacific region. The Diplomat. https://thediplomat.com/2019/07/china-russia-conduct-first-ever-joint-strategic-bomber-patrol-flights-in-indo-pacific-region/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End w:id="14"/>
    <w:bookmarkStart w:id="15" w:name="三科技与产业"/>
    <w:p>
      <w:pPr>
        <w:pStyle w:val="Heading2"/>
      </w:pPr>
      <w:r>
        <w:rPr>
          <w:rFonts w:hint="eastAsia"/>
        </w:rPr>
        <w:t xml:space="preserve">三、科技与产业</w:t>
      </w:r>
    </w:p>
    <w:p>
      <w:r>
        <w:pict>
          <v:rect style="width:0;height:1.5pt" o:hralign="center" o:hrstd="t" o:hr="t"/>
        </w:pic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5"/>
    <w:bookmarkStart w:id="18" w:name="四社会与民生"/>
    <w:p>
      <w:pPr>
        <w:pStyle w:val="Heading2"/>
      </w:pPr>
      <w:r>
        <w:rPr>
          <w:rFonts w:hint="eastAsia"/>
        </w:rPr>
        <w:t xml:space="preserve">四、社会与民生</w:t>
      </w:r>
    </w:p>
    <w:bookmarkStart w:id="16" w:name="人权观察北京强化对香港社会控制国安预算升至180亿港元"/>
    <w:p>
      <w:pPr>
        <w:pStyle w:val="Heading3"/>
      </w:pPr>
      <w:r>
        <w:rPr>
          <w:rFonts w:hint="eastAsia"/>
        </w:rPr>
        <w:t xml:space="preserve">人权观察：北京强化对香港社会控制，国安预算升至180亿港元</w:t>
      </w:r>
    </w:p>
    <w:p>
      <w:pPr>
        <w:pStyle w:val="FirstParagraph"/>
      </w:pPr>
      <w:r>
        <w:rPr>
          <w:rFonts w:hint="eastAsia"/>
        </w:rPr>
        <w:t xml:space="preserve">人权观察（Human</w:t>
      </w:r>
      <w:r>
        <w:t xml:space="preserve"> Rights </w:t>
      </w:r>
      <w:r>
        <w:rPr>
          <w:rFonts w:hint="eastAsia"/>
        </w:rPr>
        <w:t xml:space="preserve">Watch）6月29日发布香港状况年度报告，由亚洲区主任Elaine</w:t>
      </w:r>
      <w:r>
        <w:t xml:space="preserve"> </w:t>
      </w:r>
      <w:r>
        <w:rPr>
          <w:rFonts w:hint="eastAsia"/>
        </w:rPr>
        <w:t xml:space="preserve">Pearson撰写，称北京在《国安法》实施六年后，正系统性收紧对香港社会的控制。报告披露，香港警方已于2026年3月获得法定权力，可要求嫌疑人交出电子设备密码；同年6月，特区政府绕过立法会，通过附属立法授权行政长官可将任何刑事罪行指定为国家安全案件。</w:t>
      </w:r>
    </w:p>
    <w:p>
      <w:pPr>
        <w:pStyle w:val="BodyText"/>
      </w:pPr>
      <w:r>
        <w:rPr>
          <w:rFonts w:hint="eastAsia"/>
        </w:rPr>
        <w:t xml:space="preserve">报告列出的数据勾勒出控制的纵深。国家安全预算已增至180亿港元（约23亿美元）；因言论行为依《国安法》被捕者达401人，定罪182人；国安相关逮捕日益转为保密处理。立法层面的渗透同样显著：90名立法会议员中有27人同时在中国国家机构兼职，至少45名议员出任中国国有企业董事——较上一届增加六成。报告还指出，国安合规条款已嵌入餐厅牌照和商业许可，爱国主义教育进入学校课程。</w:t>
      </w:r>
    </w:p>
    <w:p>
      <w:pPr>
        <w:pStyle w:val="BodyText"/>
      </w:pPr>
      <w:r>
        <w:rPr>
          <w:rFonts w:hint="eastAsia"/>
        </w:rPr>
        <w:t xml:space="preserve">设备密码新规的力度在3月已显现：拒绝向警方提供密码或解密协助最高可处罚款10万港元、监禁两年，且适用于所有人，包括过境香港国际机场的旅客。人权观察援引2025年11月大埔房屋火灾作为当局借公共事件强化管控的例证，整体判断是香港治理结构已“对党的领导负责，而非对香港市民负责”。</w:t>
      </w:r>
    </w:p>
    <w:p>
      <w:pPr>
        <w:pStyle w:val="BodyText"/>
      </w:pPr>
      <w:r>
        <w:rPr>
          <w:b/>
          <w:bCs/>
        </w:rPr>
        <w:t xml:space="preserve">References</w:t>
      </w:r>
    </w:p>
    <w:p>
      <w:pPr>
        <w:pStyle w:val="BodyText"/>
      </w:pPr>
      <w:r>
        <w:t xml:space="preserve">[12] Human Rights Watch. (2026, June 29). Hong Kong: Beijing tightens social control. Human Rights Watch. https://www.hrw.org/news/2026/06/29/hong-kong-beijing-tightens-social-control</w:t>
      </w:r>
      <w:r>
        <w:t xml:space="preserve"> </w:t>
      </w:r>
      <w:r>
        <w:t xml:space="preserve">[13] Chan, A. (2026, June 29). How Hong Kong quietly rehabilitates former protesters. Nikkei Asia. https://asia.nikkei.com/spotlight/hong-kong-security-law/how-hong-kong-quietly-rehabilitates-former-protesters</w:t>
      </w:r>
    </w:p>
    <w:p>
      <w:r>
        <w:pict>
          <v:rect style="width:0;height:1.5pt" o:hralign="center" o:hrstd="t" o:hr="t"/>
        </w:pict>
      </w:r>
    </w:p>
    <w:bookmarkEnd w:id="16"/>
    <w:bookmarkStart w:id="17" w:name="香港悄然招安2019年示威被捕者"/>
    <w:p>
      <w:pPr>
        <w:pStyle w:val="Heading3"/>
      </w:pPr>
      <w:r>
        <w:rPr>
          <w:rFonts w:hint="eastAsia"/>
        </w:rPr>
        <w:t xml:space="preserve">香港悄然“招安”2019年示威被捕者</w:t>
      </w:r>
    </w:p>
    <w:p>
      <w:pPr>
        <w:pStyle w:val="FirstParagraph"/>
      </w:pPr>
      <w:r>
        <w:rPr>
          <w:rFonts w:hint="eastAsia"/>
        </w:rPr>
        <w:t xml:space="preserve">香港警方正重新接触2019年示威中被捕、但当年未被起诉即获释的人士。据日经亚洲记者Anne</w:t>
      </w:r>
      <w:r>
        <w:t xml:space="preserve"> </w:t>
      </w:r>
      <w:r>
        <w:rPr>
          <w:rFonts w:hint="eastAsia"/>
        </w:rPr>
        <w:t xml:space="preserve">Chan报道，一名化名“Jon”的当事人在初次被拘约六年后再度收到警方联络，尽管他从未被正式控罪；当局向其提出在“法律框架内重新开始”的安排。</w:t>
      </w:r>
    </w:p>
    <w:p>
      <w:pPr>
        <w:pStyle w:val="BodyText"/>
      </w:pPr>
      <w:r>
        <w:rPr>
          <w:rFonts w:hint="eastAsia"/>
        </w:rPr>
        <w:t xml:space="preserve">这种低调的个案接触，与人权观察同日报告所描述的国安管控形成另一面。一边是401宗逮捕、182宗定罪的刚性打击，另一边则是对未起诉者的逐一回访与“招安”。报道是日经“香港国安法”系列的一部分，记录的是六年后香港当局如何处理2019年那批庞大的、处于法律灰色地带的前示威者——既不撤案，也不重启控罪，而是以个别接触的方式将其纳入持续的监控视野。</w:t>
      </w:r>
    </w:p>
    <w:p>
      <w:pPr>
        <w:pStyle w:val="BodyText"/>
      </w:pPr>
      <w:r>
        <w:rPr>
          <w:b/>
          <w:bCs/>
        </w:rPr>
        <w:t xml:space="preserve">References</w:t>
      </w:r>
    </w:p>
    <w:p>
      <w:pPr>
        <w:pStyle w:val="BodyText"/>
      </w:pPr>
      <w:r>
        <w:t xml:space="preserve">[14] Chan, A. (2026, June 29). How Hong Kong quietly rehabilitates former protesters. Nikkei Asia. https://asia.nikkei.com/spotlight/hong-kong-security-law/how-hong-kong-quietly-rehabilitates-former-protesters</w:t>
      </w:r>
      <w:r>
        <w:t xml:space="preserve"> </w:t>
      </w:r>
      <w:r>
        <w:t xml:space="preserve">[15] Human Rights Watch. (2026, June 29). Hong Kong: Beijing tightens social control. Human Rights Watch. https://www.hrw.org/news/2026/06/29/hong-kong-beijing-tightens-social-control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0" w:name="五海外涉华财经"/>
    <w:p>
      <w:pPr>
        <w:pStyle w:val="Heading2"/>
      </w:pPr>
      <w:r>
        <w:rPr>
          <w:rFonts w:hint="eastAsia"/>
        </w:rPr>
        <w:t xml:space="preserve">五、海外涉华财经</w:t>
      </w:r>
    </w:p>
    <w:bookmarkStart w:id="19" w:name="中国对40家日本国防关联实体扩大出口管制"/>
    <w:p>
      <w:pPr>
        <w:pStyle w:val="Heading3"/>
      </w:pPr>
      <w:r>
        <w:rPr>
          <w:rFonts w:hint="eastAsia"/>
        </w:rPr>
        <w:t xml:space="preserve">中国对40家日本国防关联实体扩大出口管制</w:t>
      </w:r>
    </w:p>
    <w:p>
      <w:pPr>
        <w:pStyle w:val="FirstParagraph"/>
      </w:pPr>
      <w:r>
        <w:rPr>
          <w:rFonts w:hint="eastAsia"/>
        </w:rPr>
        <w:t xml:space="preserve">中国商务部6月29日宣布对日本实施两轮出口限制。第一轮将20家日本实体列入出口管制黑名单，包括防卫研究所（National</w:t>
      </w:r>
      <w:r>
        <w:t xml:space="preserve"> Institute for Defense </w:t>
      </w:r>
      <w:r>
        <w:rPr>
          <w:rFonts w:hint="eastAsia"/>
        </w:rPr>
        <w:t xml:space="preserve">Studies）和三菱电机防卫宇宙技术公司（Mitsubishi</w:t>
      </w:r>
      <w:r>
        <w:t xml:space="preserve"> Electric Defense and Space Technologies </w:t>
      </w:r>
      <w:r>
        <w:rPr>
          <w:rFonts w:hint="eastAsia"/>
        </w:rPr>
        <w:t xml:space="preserve">Corporation），禁止向其供应两用物项；第二轮再将20家实体列入“观察名单”，包括三井E&amp;S（Mitsui</w:t>
      </w:r>
      <w:r>
        <w:t xml:space="preserve"> </w:t>
      </w:r>
      <w:r>
        <w:rPr>
          <w:rFonts w:hint="eastAsia"/>
        </w:rPr>
        <w:t xml:space="preserve">E&amp;S）、富士通及小松的相关部门，对其出口需逐笔申请特别许可。彭博称受影响实体合计超过40家。</w:t>
      </w:r>
    </w:p>
    <w:p>
      <w:pPr>
        <w:pStyle w:val="BodyText"/>
      </w:pPr>
      <w:r>
        <w:rPr>
          <w:rFonts w:hint="eastAsia"/>
        </w:rPr>
        <w:t xml:space="preserve">商务部为措施辩护称，“中方的措施完全正当、合理、合法，旨在坚决遏制日本不计后果地推行‘新军国主义’”。</w:t>
      </w:r>
    </w:p>
    <w:p>
      <w:pPr>
        <w:pStyle w:val="BodyText"/>
      </w:pPr>
      <w:r>
        <w:rPr>
          <w:rFonts w:hint="eastAsia"/>
        </w:rPr>
        <w:t xml:space="preserve">此次出手是中日外交危机持续升级的最新一环。导火索是日本首相高市早苗（Sanae</w:t>
      </w:r>
      <w:r>
        <w:t xml:space="preserve"> </w:t>
      </w:r>
      <w:r>
        <w:rPr>
          <w:rFonts w:hint="eastAsia"/>
        </w:rPr>
        <w:t xml:space="preserve">Takaichi）2025年11月在国会的表态——她称中国对台湾动武可能构成日本的“存亡危机事态”，从而允许日本行使集体自卫权采取军事行动。此言引发北京一连串反制：发布赴日旅行警示、限制人员文化交流、暂停日本水产品进口。2026年1月6日，商务部发布第1号公告，禁止向日本军事用户和军事用途出口全部两用物项；2月24日又公布两份各含20家日企的名单——一份立即禁运两用物项，另一份纳入需逐笔申请的观察名单。6月29日的新一轮管制，使被限制的日本实体数量进一步翻倍。</w:t>
      </w:r>
    </w:p>
    <w:p>
      <w:pPr>
        <w:pStyle w:val="BodyText"/>
      </w:pPr>
      <w:r>
        <w:rPr>
          <w:b/>
          <w:bCs/>
        </w:rPr>
        <w:t xml:space="preserve">References</w:t>
      </w:r>
    </w:p>
    <w:p>
      <w:pPr>
        <w:pStyle w:val="BodyText"/>
      </w:pPr>
      <w:r>
        <w:t xml:space="preserve">[16] Mistreanu, S. (2026, June 29). China imposes export controls on 40 Japanese entities as tensions with Tokyo rise. Associated Press. https://www.local10.com/news/2026/06/29/china-imposes-export-controls-on-40-japanese-entities-as-tensions-with-tokyo-rise/</w:t>
      </w:r>
      <w:r>
        <w:t xml:space="preserve"> </w:t>
      </w:r>
      <w:r>
        <w:t xml:space="preserve">[17] Agence France-Presse. (2026, June 29). China adds 20 Japanese organisations to export blacklist. Hong Kong Free Press. https://hongkongfp.com/2026/06/29/china-adds-20-japanese-organisations-to-export-blacklist/</w:t>
      </w:r>
      <w:r>
        <w:t xml:space="preserve"> </w:t>
      </w:r>
      <w:r>
        <w:t xml:space="preserve">[18] Suzuki, W. (2026, June 29). China restricts exports to Mitsubishi, Hitachi, Komatsu units. Nikkei Asia. https://asia.nikkei.com/politics/international-relations/japan-china-tensions/china-restricts-exports-to-mitsubishi-hitachi-komatsu-units</w:t>
      </w:r>
      <w:r>
        <w:t xml:space="preserve"> </w:t>
      </w:r>
      <w:r>
        <w:t xml:space="preserve">[19] Bloomberg. (2026, June 29). China blacklists more Japan entities as Takaichi feud deepens. Bloomberg. https://www.bloomberg.com/news/articles/2026-06-29/china-blacklists-more-japan-entities-as-takaichi-feud-deepens</w:t>
      </w:r>
      <w:r>
        <w:t xml:space="preserve"> </w:t>
      </w:r>
      <w:r>
        <w:t xml:space="preserve">[20] CNBC. (2026, June 29). China-Japan export controls: watch list, defense entities. CNBC. https://www.cnbc.com/2026/06/29/china-japan-export-controls-watch-list-defense-entities.html</w:t>
      </w:r>
      <w:r>
        <w:t xml:space="preserve"> </w:t>
      </w:r>
      <w:r>
        <w:t xml:space="preserve">[21] Wikipedia. (2026, June). 2025–2026 China–Japan diplomatic crisis. Wikipedia. https://en.wikipedia.org/wiki/2025%E2%80%932026_China%E2%80%93Japan_diplomatic_crisis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4" w:name="六企业ipo与并购"/>
    <w:p>
      <w:pPr>
        <w:pStyle w:val="Heading2"/>
      </w:pPr>
      <w:r>
        <w:rPr>
          <w:rFonts w:hint="eastAsia"/>
        </w:rPr>
        <w:t xml:space="preserve">六、企业IPO与并购</w:t>
      </w:r>
    </w:p>
    <w:bookmarkStart w:id="21" w:name="光通信厂商crealights登陆港交所估值约102亿港元"/>
    <w:p>
      <w:pPr>
        <w:pStyle w:val="Heading3"/>
      </w:pPr>
      <w:r>
        <w:rPr>
          <w:rFonts w:hint="eastAsia"/>
        </w:rPr>
        <w:t xml:space="preserve">光通信厂商Crealights登陆港交所，估值约102亿港元</w:t>
      </w:r>
    </w:p>
    <w:p>
      <w:pPr>
        <w:pStyle w:val="FirstParagraph"/>
      </w:pPr>
      <w:r>
        <w:t xml:space="preserve">Crealights Technology Co., </w:t>
      </w:r>
      <w:r>
        <w:rPr>
          <w:rFonts w:hint="eastAsia"/>
        </w:rPr>
        <w:t xml:space="preserve">Ltd.（创锐科技）6月29日在香港交易所主板挂牌。公司以每股114.00港元定价，发行1343万股H股，对应发行时市值约102.1亿港元（约13.1亿美元）。其主营半导体与光电互连产品——面向数据中心和AI算力的高速光收发模块及光子集成电路。</w:t>
      </w:r>
    </w:p>
    <w:p>
      <w:pPr>
        <w:pStyle w:val="BodyText"/>
      </w:pPr>
      <w:r>
        <w:rPr>
          <w:rFonts w:hint="eastAsia"/>
        </w:rPr>
        <w:t xml:space="preserve">此次上市踩在港股AI光通信IPO热潮的节点上。今年4月28日，光子芯片厂商Lightelligence（曦智科技）登陆港交所首日暴涨逾380%，市值一度冲至779亿港元，点燃市场对光互连概念的追捧；Yuanjie（源杰科技）等激光芯片企业也在排队赴港。AI训练集群对算力中心内部带宽的需求激增，正把光收发模块、硅光与光子计算从配套环节推上资本市场的风口，Crealights的挂牌是这一波热潮中的又一例。</w:t>
      </w:r>
    </w:p>
    <w:p>
      <w:pPr>
        <w:pStyle w:val="BodyText"/>
      </w:pPr>
      <w:r>
        <w:rPr>
          <w:b/>
          <w:bCs/>
        </w:rPr>
        <w:t xml:space="preserve">References</w:t>
      </w:r>
    </w:p>
    <w:p>
      <w:pPr>
        <w:pStyle w:val="BodyText"/>
      </w:pPr>
      <w:r>
        <w:t xml:space="preserve">[22] IPOX. (2026, June 29). The IPOX IPO calendar — upcoming IPOs. IPOX. https://www.ipox.com/upcoming-ipos</w:t>
      </w:r>
      <w:r>
        <w:t xml:space="preserve"> </w:t>
      </w:r>
      <w:r>
        <w:t xml:space="preserve">[23] The Standard. (2026, June 29). Crealights Technology Hong Kong listing. The Standard. https://thestandard.com.hk</w:t>
      </w:r>
    </w:p>
    <w:p>
      <w:r>
        <w:pict>
          <v:rect style="width:0;height:1.5pt" o:hralign="center" o:hrstd="t" o:hr="t"/>
        </w:pict>
      </w:r>
    </w:p>
    <w:bookmarkEnd w:id="21"/>
    <w:bookmarkStart w:id="22" w:name="momenta赴港ipo拟募7.52亿美元奔驰贝莱德入股"/>
    <w:p>
      <w:pPr>
        <w:pStyle w:val="Heading3"/>
      </w:pPr>
      <w:r>
        <w:rPr>
          <w:rFonts w:hint="eastAsia"/>
        </w:rPr>
        <w:t xml:space="preserve">Momenta赴港IPO拟募7.52亿美元，奔驰贝莱德入股</w:t>
      </w:r>
    </w:p>
    <w:p>
      <w:pPr>
        <w:pStyle w:val="FirstParagraph"/>
      </w:pPr>
      <w:r>
        <w:rPr>
          <w:rFonts w:hint="eastAsia"/>
        </w:rPr>
        <w:t xml:space="preserve">GM与腾讯支持的自动驾驶公司Momenta</w:t>
      </w:r>
      <w:r>
        <w:t xml:space="preserve"> Global </w:t>
      </w:r>
      <w:r>
        <w:rPr>
          <w:rFonts w:hint="eastAsia"/>
        </w:rPr>
        <w:t xml:space="preserve">Ltd.（魔门塔）6月29日启动香港IPO，拟募集约58.9亿港元（约7.52亿美元）。这家总部位于苏州的自动驾驶技术企业，以每股295.60港元发售约1990万股，对应估值近90亿美元。基石投资者阵容包括梅赛德斯-奔驰（Mercedes-Benz）、BlackRock、博裕资本（Boyu</w:t>
      </w:r>
      <w:r>
        <w:t xml:space="preserve"> </w:t>
      </w:r>
      <w:r>
        <w:rPr>
          <w:rFonts w:hint="eastAsia"/>
        </w:rPr>
        <w:t xml:space="preserve">Capital）、新加坡主权基金GIC和富达国际（Fidelity</w:t>
      </w:r>
      <w:r>
        <w:t xml:space="preserve"> </w:t>
      </w:r>
      <w:r>
        <w:rPr>
          <w:rFonts w:hint="eastAsia"/>
        </w:rPr>
        <w:t xml:space="preserve">International）。</w:t>
      </w:r>
    </w:p>
    <w:p>
      <w:pPr>
        <w:pStyle w:val="BodyText"/>
      </w:pPr>
      <w:r>
        <w:rPr>
          <w:rFonts w:hint="eastAsia"/>
        </w:rPr>
        <w:t xml:space="preserve">Momenta计划将60%的募资投入研发，另20%用于加速Robotaxi服务。公司2016年由曹旭东创立，截至2025年底其软件已搭载于超过68万辆汽车，背后股东包括通用汽车（General</w:t>
      </w:r>
      <w:r>
        <w:t xml:space="preserve"> </w:t>
      </w:r>
      <w:r>
        <w:rPr>
          <w:rFonts w:hint="eastAsia"/>
        </w:rPr>
        <w:t xml:space="preserve">Motors）和腾讯（Tencent</w:t>
      </w:r>
      <w:r>
        <w:t xml:space="preserve"> </w:t>
      </w:r>
      <w:r>
        <w:rPr>
          <w:rFonts w:hint="eastAsia"/>
        </w:rPr>
        <w:t xml:space="preserve">Holdings）。按计划，配售结果将于7月7日公布，股票于7月8日开始交易。</w:t>
      </w:r>
    </w:p>
    <w:p>
      <w:pPr>
        <w:pStyle w:val="BodyText"/>
      </w:pPr>
      <w:r>
        <w:rPr>
          <w:rFonts w:hint="eastAsia"/>
        </w:rPr>
        <w:t xml:space="preserve">豪华的投资者名单是这宗IPO的看点，也是其特征——奔驰、通用、腾讯、贝莱德、GIC同时押注，反映出全球车企和资本对中国自动驾驶量产路线的下注，而非单纯财务投资。对Momenta而言，募资额本身并非核心诉求，绑定上下游战略股东、抢占Robotaxi商业化窗口才是赴港上市的真正目的。</w:t>
      </w:r>
    </w:p>
    <w:p>
      <w:pPr>
        <w:pStyle w:val="BodyText"/>
      </w:pPr>
      <w:r>
        <w:rPr>
          <w:b/>
          <w:bCs/>
        </w:rPr>
        <w:t xml:space="preserve">References</w:t>
      </w:r>
    </w:p>
    <w:p>
      <w:pPr>
        <w:pStyle w:val="BodyText"/>
      </w:pPr>
      <w:r>
        <w:t xml:space="preserve">[24] Bloomberg. (2026, June 29). GM-backed self-driving firm Momenta seeks $752 million from Hong Kong listing. Bloomberg. https://www.bloomberg.com/news/articles/2026-06-29/gm-backed-self-driving-firm-momenta-seeks-752-million-from-hong-kong-listing</w:t>
      </w:r>
      <w:r>
        <w:t xml:space="preserve"> </w:t>
      </w:r>
      <w:r>
        <w:t xml:space="preserve">[25] Reuters. (2026, June 29). China’s Momenta seeks up to $751 million in Hong Kong IPO to boost autonomous driving R&amp;D. Investing.com. https://www.investing.com/news/stock-market-news/chinas-momenta-seeks-up-to-751-million-in-hong-kong-ipo-to-boost-autonomous-driving-rd-4764186</w:t>
      </w:r>
      <w:r>
        <w:t xml:space="preserve"> </w:t>
      </w:r>
      <w:r>
        <w:t xml:space="preserve">[26] Crypto Briefing. (2026, June 29). Momenta kicks off Hong Kong IPO, targets $751M to fund autonomous driving and Robotaxi expansion. Crypto Briefing. https://cryptobriefing.com/momenta-hong-kong-ipo-751m/</w:t>
      </w:r>
    </w:p>
    <w:p>
      <w:r>
        <w:pict>
          <v:rect style="width:0;height:1.5pt" o:hralign="center" o:hrstd="t" o:hr="t"/>
        </w:pict>
      </w:r>
    </w:p>
    <w:bookmarkEnd w:id="22"/>
    <w:bookmarkStart w:id="23" w:name="硅光企业alebund-photonics登陆港交所募资约12.8亿港元"/>
    <w:p>
      <w:pPr>
        <w:pStyle w:val="Heading3"/>
      </w:pPr>
      <w:r>
        <w:rPr>
          <w:rFonts w:hint="eastAsia"/>
        </w:rPr>
        <w:t xml:space="preserve">硅光企业Alebund</w:t>
      </w:r>
      <w:r>
        <w:t xml:space="preserve"> </w:t>
      </w:r>
      <w:r>
        <w:rPr>
          <w:rFonts w:hint="eastAsia"/>
        </w:rPr>
        <w:t xml:space="preserve">Photonics登陆港交所，募资约12.8亿港元</w:t>
      </w:r>
    </w:p>
    <w:p>
      <w:pPr>
        <w:pStyle w:val="FirstParagraph"/>
      </w:pPr>
      <w:r>
        <w:t xml:space="preserve">Alebund Photonics </w:t>
      </w:r>
      <w:r>
        <w:rPr>
          <w:rFonts w:hint="eastAsia"/>
        </w:rPr>
        <w:t xml:space="preserve">Ltd.（埃伯德光电）6月29日在香港交易所挂牌。公司以每股22.60港元定价，发行5676万股H股，募集资金约12.8亿港元（约1.64亿美元）。其产品聚焦硅光与光连接——面向AI数据中心互连的光子芯片和硅光模块。</w:t>
      </w:r>
    </w:p>
    <w:p>
      <w:pPr>
        <w:pStyle w:val="BodyText"/>
      </w:pPr>
      <w:r>
        <w:rPr>
          <w:rFonts w:hint="eastAsia"/>
        </w:rPr>
        <w:t xml:space="preserve">与同日上市的Crealights一样，Alebund赶上了港股硅光赛道的集中放量。AI算力扩张推升数据中心内部光互连需求，硅光技术因功耗和集成度优势成为高速传输的主流方向，今年港交所已先后迎来Lightelligence等多家光子与光芯片企业。两家光通信公司在同一天敲钟，本身就说明资本对这一细分赛道的追逐已进入密集兑现阶段。</w:t>
      </w:r>
    </w:p>
    <w:p>
      <w:pPr>
        <w:pStyle w:val="BodyText"/>
      </w:pPr>
      <w:r>
        <w:rPr>
          <w:b/>
          <w:bCs/>
        </w:rPr>
        <w:t xml:space="preserve">References</w:t>
      </w:r>
    </w:p>
    <w:p>
      <w:pPr>
        <w:pStyle w:val="BodyText"/>
      </w:pPr>
      <w:r>
        <w:t xml:space="preserve">[27] IPOX. (2026, June 29). The IPOX IPO calendar — upcoming IPOs. IPOX. https://www.ipox.com/upcoming-ipos</w:t>
      </w:r>
      <w:r>
        <w:t xml:space="preserve"> </w:t>
      </w:r>
      <w:r>
        <w:t xml:space="preserve">[28] The Standard. (2026, June 29). Alebund Photonics Hong Kong listing. The Standard. https://thestandard.com.hk</w:t>
      </w:r>
    </w:p>
    <w:p>
      <w:r>
        <w:pict>
          <v:rect style="width:0;height:1.5pt" o:hralign="center" o:hrstd="t" o:hr="t"/>
        </w:pict>
      </w:r>
    </w:p>
    <w:bookmarkEnd w:id="23"/>
    <w:bookmarkEnd w:id="24"/>
    <w:bookmarkStart w:id="25" w:name="七其他重要事件"/>
    <w:p>
      <w:pPr>
        <w:pStyle w:val="Heading2"/>
      </w:pPr>
      <w:r>
        <w:rPr>
          <w:rFonts w:hint="eastAsia"/>
        </w:rPr>
        <w:t xml:space="preserve">七、其他重要事件</w:t>
      </w:r>
    </w:p>
    <w:p>
      <w:r>
        <w:pict>
          <v:rect style="width:0;height:1.5pt" o:hralign="center" o:hrstd="t" o:hr="t"/>
        </w:pic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2026-06-29T09:19:51Z</dcterms:created>
  <dcterms:modified xsi:type="dcterms:W3CDTF">2026-06-29T09:19:51Z</dcterms:modified>
</cp:coreProperties>
</file>

<file path=docProps/custom.xml><?xml version="1.0" encoding="utf-8"?>
<Properties xmlns="http://schemas.openxmlformats.org/officeDocument/2006/custom-properties" xmlns:vt="http://schemas.openxmlformats.org/officeDocument/2006/docPropsVTypes"/>
</file>