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7ab066149c9de2f39eca9156d56884acd6a97f"/>
    <w:p>
      <w:pPr>
        <w:pStyle w:val="Heading1"/>
      </w:pPr>
      <w:r>
        <w:t xml:space="preserve">China Daily News Intelligence — June 29, 2026</w:t>
      </w:r>
    </w:p>
    <w:bookmarkStart w:id="12" w:name="economy-markets"/>
    <w:p>
      <w:pPr>
        <w:pStyle w:val="Heading2"/>
      </w:pPr>
      <w:r>
        <w:t xml:space="preserve">1. Economy &amp; Markets</w:t>
      </w:r>
    </w:p>
    <w:bookmarkStart w:id="9" w:name="Xee06de0daeeda5d5eda6475af3a6ca2e2a1692e"/>
    <w:p>
      <w:pPr>
        <w:pStyle w:val="Heading3"/>
      </w:pPr>
      <w:r>
        <w:t xml:space="preserve">PBOC debuts overnight reverse repo, withholds the rate in framework shift</w:t>
      </w:r>
    </w:p>
    <w:p>
      <w:pPr>
        <w:pStyle w:val="FirstParagraph"/>
      </w:pPr>
      <w:r>
        <w:t xml:space="preserve">The People’s Bank of China conducted its first-ever overnight reverse repo on June 29, offering 300 billion yuan ($44.1 billion) to financial institutions on the final trading day of Q2 2026. The rate landed at 1.25% — 15 basis points below the 7-day reverse repo rate of 1.40% — but the central bank declined to release the figure officially, leaving market sources to disclose it. A new tool priced below the existing benchmark functions as a de facto easing of overnight funding costs.</w:t>
      </w:r>
    </w:p>
    <w:p>
      <w:pPr>
        <w:pStyle w:val="BodyText"/>
      </w:pPr>
      <w:r>
        <w:t xml:space="preserve">The move completes a piece of governor Pan Gongsheng’s multi-year pivot toward a price-based policy framework anchored on short-term rates. Beijing had flagged the new instrument earlier this month, pairing it with a plan to narrow the interest rate corridor around the 7-day rate. A dedicated overnight lever gives the PBOC direct control over the shortest end of the curve — most valuable at month- and quarter-end, when money market rates spike on liquidity crunches. Alongside the new operation the bank injected 157.5 billion yuan through 7-day reverse repos, holding that rate at 1.40%.</w:t>
      </w:r>
    </w:p>
    <w:p>
      <w:pPr>
        <w:pStyle w:val="BodyText"/>
      </w:pPr>
      <w:r>
        <w:t xml:space="preserve">Withholding the headline rate is itself a signal: it lets the central bank act on funding conditions without committing to a publicly tracked policy number, preserving flexibility as it tunes the corridor.</w:t>
      </w:r>
    </w:p>
    <w:p>
      <w:pPr>
        <w:pStyle w:val="BodyText"/>
      </w:pPr>
      <w:r>
        <w:rPr>
          <w:b/>
          <w:bCs/>
        </w:rPr>
        <w:t xml:space="preserve">References</w:t>
      </w:r>
    </w:p>
    <w:p>
      <w:pPr>
        <w:pStyle w:val="BodyText"/>
      </w:pPr>
      <w:r>
        <w:t xml:space="preserve">[1] Reuters. (2026, June 29). China debuts overnight reverse repos at 1.25%, sources say. Investing.com. https://www.investing.com/news/economy-news/china-debuts-overnight-reverse-repos-at-125-sources-say-4764218</w:t>
      </w:r>
      <w:r>
        <w:t xml:space="preserve"> </w:t>
      </w:r>
      <w:r>
        <w:t xml:space="preserve">[2] Bloomberg. (2026, June 29). China central bank debuts overnight operation, surprises with no rate released. Bloomberg. https://www.bloomberg.com/news/articles/2026-06-29/china-central-bank-debuts-overnight-operation-surprises-with-no-rate-released</w:t>
      </w:r>
      <w:r>
        <w:t xml:space="preserve"> </w:t>
      </w:r>
      <w:r>
        <w:t xml:space="preserve">[3] Cryptobriefing. (2026, June 29). People’s Bank of China injects $44B in debut overnight reverse repo. Cryptobriefing. https://cryptobriefing.com/pboc-overnight-reverse-repo-44b-injection/</w:t>
      </w:r>
    </w:p>
    <w:p>
      <w:r>
        <w:pict>
          <v:rect style="width:0;height:1.5pt" o:hralign="center" o:hrstd="t" o:hr="t"/>
        </w:pict>
      </w:r>
    </w:p>
    <w:bookmarkEnd w:id="9"/>
    <w:bookmarkStart w:id="10" w:name="Xeb26edc3301a8b48a516adc56252cf2ea3ded8a"/>
    <w:p>
      <w:pPr>
        <w:pStyle w:val="Heading3"/>
      </w:pPr>
      <w:r>
        <w:t xml:space="preserve">China says tech-sector growth is making energy demand harder to forecast</w:t>
      </w:r>
    </w:p>
    <w:p>
      <w:pPr>
        <w:pStyle w:val="FirstParagraph"/>
      </w:pPr>
      <w:r>
        <w:t xml:space="preserve">A top Chinese government official said on June 29 that the rapid expansion of new industries is reshaping electricity consumption faster than grid planners can model it, with AI computing centers and electric vehicles cited as the hardest variables to predict. June LNG imports are tracking at roughly 5.29 million tons, broadly in line with a year earlier, per Kpler data — but that steadiness in fuel imports masks a structural shift in where and how power is being consumed.</w:t>
      </w:r>
    </w:p>
    <w:p>
      <w:pPr>
        <w:pStyle w:val="BodyText"/>
      </w:pPr>
      <w:r>
        <w:t xml:space="preserve">The numbers behind the warning are striking. China’s full-year 2025 electricity consumption reached a record 10.4 trillion kWh. Tertiary-sector demand jumped 8.2%, led by a 48.8% surge in EV charging and battery swapping and a 17% rise in IT services. Data-center power demand is projected to keep climbing sharply through 2030, becoming a growing share of the country’s total electricity demand growth over the period.</w:t>
      </w:r>
    </w:p>
    <w:p>
      <w:pPr>
        <w:pStyle w:val="BodyText"/>
      </w:pPr>
      <w:r>
        <w:t xml:space="preserve">The forecasting problem has become a planning priority. China’s 2026 energy roadmap makes reliable power supply for AI data centers a national objective, explicitly aiming to tighten the links between computing infrastructure and the power grid — an admission that the old industrial-output models no longer capture where the next marginal megawatt goes.</w:t>
      </w:r>
    </w:p>
    <w:p>
      <w:pPr>
        <w:pStyle w:val="BodyText"/>
      </w:pPr>
      <w:r>
        <w:rPr>
          <w:b/>
          <w:bCs/>
        </w:rPr>
        <w:t xml:space="preserve">References</w:t>
      </w:r>
    </w:p>
    <w:p>
      <w:pPr>
        <w:pStyle w:val="BodyText"/>
      </w:pPr>
      <w:r>
        <w:t xml:space="preserve">[4] Bloomberg. (2026, June 29). China says tech growth a challenge to predicting energy demand. Bloomberg. https://www.bloomberg.com/news/articles/2026-06-29/china-says-tech-growth-a-challenge-to-predicting-energy-demand</w:t>
      </w:r>
      <w:r>
        <w:t xml:space="preserve"> </w:t>
      </w:r>
      <w:r>
        <w:t xml:space="preserve">[5] Energy Connects. (2026, June). China says tech growth a challenge to predicting energy demand. Energy Connects. https://www.energyconnects.com/news/renewables/2026/june/china-says-tech-growth-a-challenge-to-predicting-energy-demand/</w:t>
      </w:r>
      <w:r>
        <w:t xml:space="preserve"> </w:t>
      </w:r>
      <w:r>
        <w:t xml:space="preserve">[6] DigiTimes. (2026, June 29). China makes AI power a national priority in new five-year energy plan. DigiTimes. https://www.digitimes.com/news/a20260629PD218/electricity-genai-demand-infrastructure-data.html</w:t>
      </w:r>
      <w:r>
        <w:t xml:space="preserve"> </w:t>
      </w:r>
      <w:r>
        <w:t xml:space="preserve">[7] South China Morning Post. (2026, June 29). China’s AI and EV boom drives record power demand, widening energy gap with US. South China Morning Post. https://www.scmp.com/business/china-business/article/3340261/chinas-ai-and-ev-boom-drives-record-power-demand-widening-energy-gap-us</w:t>
      </w:r>
    </w:p>
    <w:p>
      <w:r>
        <w:pict>
          <v:rect style="width:0;height:1.5pt" o:hralign="center" o:hrstd="t" o:hr="t"/>
        </w:pict>
      </w:r>
    </w:p>
    <w:bookmarkEnd w:id="10"/>
    <w:bookmarkStart w:id="11" w:name="Xedea240a7308241ea4982ef6e572c3ac5fbda1a"/>
    <w:p>
      <w:pPr>
        <w:pStyle w:val="Heading3"/>
      </w:pPr>
      <w:r>
        <w:t xml:space="preserve">State developers power Shenzhen construction as private rivals founder</w:t>
      </w:r>
    </w:p>
    <w:p>
      <w:pPr>
        <w:pStyle w:val="FirstParagraph"/>
      </w:pPr>
      <w:r>
        <w:t xml:space="preserve">State-owned developers are sustaining a construction boom in Shenzhen even as fresh data signals a deepening downturn across the rest of China’s property market, filling the gap left by distressed private builders. The result is an increasingly sharp split: state-backed firms keep breaking ground while their private peers struggle to survive.</w:t>
      </w:r>
    </w:p>
    <w:p>
      <w:pPr>
        <w:pStyle w:val="BodyText"/>
      </w:pPr>
      <w:r>
        <w:t xml:space="preserve">The advantage is structural. State developers retain favorable funding and privileged access to undeveloped land in the largest cities — the two resources private firms have lost. Those private builders have spent the past three years under acute financial stress, with dozens defaulting on offshore debt or entering restructuring, and analysts expect many to face survival questions over the coming years. The macro backdrop is grim: real estate development investment kept sliding through 2025, and flagship projects in cities including Chongqing, Fuzhou, Nanjing and Shenzhen owned by cash-strapped developers are heading to judicial auction, with local state investment platforms positioned as buyers of last resort.</w:t>
      </w:r>
    </w:p>
    <w:p>
      <w:pPr>
        <w:pStyle w:val="BodyText"/>
      </w:pPr>
      <w:r>
        <w:t xml:space="preserve">The bifurcation is the property sector’s new equilibrium: the state absorbs the land, the projects and the construction pipeline, while private capital exits.</w:t>
      </w:r>
    </w:p>
    <w:p>
      <w:pPr>
        <w:pStyle w:val="BodyText"/>
      </w:pPr>
      <w:r>
        <w:rPr>
          <w:b/>
          <w:bCs/>
        </w:rPr>
        <w:t xml:space="preserve">References</w:t>
      </w:r>
    </w:p>
    <w:p>
      <w:pPr>
        <w:pStyle w:val="BodyText"/>
      </w:pPr>
      <w:r>
        <w:t xml:space="preserve">[8] Nikkei Asia. (2026, June 29). China’s state developers power Shenzhen construction despite market woes. Nikkei Asia. https://asia.nikkei.com/business/markets/property/china-s-state-developers-power-shenzhen-construction-despite-market-woes</w:t>
      </w:r>
      <w:r>
        <w:t xml:space="preserve"> </w:t>
      </w:r>
      <w:r>
        <w:t xml:space="preserve">[9] Atlantic Council. (2026). China’s property slump deepens—and threatens more than the housing sector. Atlantic Council. https://atlanticcouncil.org/blogs/econographics/sinographs/chinas-property-slump-deepens-and-threatens-more-than-the-housing-sector</w:t>
      </w:r>
      <w:r>
        <w:t xml:space="preserve"> </w:t>
      </w:r>
      <w:r>
        <w:t xml:space="preserve">[10] Yicai Global. (2026). Distressed landmark projects in Chinese cities head to auction, local govt funds may step in. Yicai Global. https://www.yicaiglobal.com/news/distressed-landmark-projects-in-chinese-cities-head-to-auction-local-govt-funds-may-step-in-insiders-say</w:t>
      </w:r>
    </w:p>
    <w:p>
      <w:r>
        <w:pict>
          <v:rect style="width:0;height:1.5pt" o:hralign="center" o:hrstd="t" o:hr="t"/>
        </w:pict>
      </w:r>
    </w:p>
    <w:bookmarkEnd w:id="11"/>
    <w:bookmarkEnd w:id="12"/>
    <w:bookmarkStart w:id="14" w:name="politics-diplomacy"/>
    <w:p>
      <w:pPr>
        <w:pStyle w:val="Heading2"/>
      </w:pPr>
      <w:r>
        <w:t xml:space="preserve">2. Politics &amp; Diplomacy</w:t>
      </w:r>
    </w:p>
    <w:bookmarkStart w:id="13" w:name="X4fbd3f55b0dddb2344abff415dabe449c2c5782"/>
    <w:p>
      <w:pPr>
        <w:pStyle w:val="Heading3"/>
      </w:pPr>
      <w:r>
        <w:t xml:space="preserve">China and Russia fly 11th joint air patrol near Japan and South Korea</w:t>
      </w:r>
    </w:p>
    <w:p>
      <w:pPr>
        <w:pStyle w:val="FirstParagraph"/>
      </w:pPr>
      <w:r>
        <w:t xml:space="preserve">More than 10 military aircraft crossed into the airspace around Japan and South Korea over Saturday June 28 and into Sunday June 29 as China and Russia conducted their 11th joint strategic air patrol. The formation paired 2 Russian Tu-95 strategic bombers and 2 Tu-142 maritime patrol aircraft with 2 Chinese H-6 bombers in a first formation, 2 more H-6 in a second, J-16 fighter escorts and 1 Russian Su-35. The aircraft entered and exited South Korea’s air defense identification zone over the East Sea and the East China Sea before pushing into the Pacific east of Shikoku.</w:t>
      </w:r>
    </w:p>
    <w:p>
      <w:pPr>
        <w:pStyle w:val="BodyText"/>
      </w:pPr>
      <w:r>
        <w:t xml:space="preserve">Both neighbors responded militarily and diplomatically. Japan’s ASDF Western Air Defense Force scrambled fighters; South Korea scrambled jets and on June 29 filed diplomatic protests with the Chinese and Russian embassies in Seoul. Japanese Defense Minister Shinjiro Koizumi called the patrol</w:t>
      </w:r>
      <w:r>
        <w:t xml:space="preserve"> </w:t>
      </w:r>
      <w:r>
        <w:t xml:space="preserve">“an expansion and intensification of their activities”</w:t>
      </w:r>
      <w:r>
        <w:t xml:space="preserve"> </w:t>
      </w:r>
      <w:r>
        <w:t xml:space="preserve">and</w:t>
      </w:r>
      <w:r>
        <w:t xml:space="preserve"> </w:t>
      </w:r>
      <w:r>
        <w:t xml:space="preserve">“a show of force directed at our country.”</w:t>
      </w:r>
      <w:r>
        <w:t xml:space="preserve"> </w:t>
      </w:r>
      <w:r>
        <w:t xml:space="preserve">China’s military framed it as</w:t>
      </w:r>
      <w:r>
        <w:t xml:space="preserve"> </w:t>
      </w:r>
      <w:r>
        <w:t xml:space="preserve">“demonstrating their resolve and capability to jointly safeguard regional peace and stability.”</w:t>
      </w:r>
    </w:p>
    <w:p>
      <w:pPr>
        <w:pStyle w:val="BodyText"/>
      </w:pPr>
      <w:r>
        <w:t xml:space="preserve">These joint patrols began in 2019 and have grown steadily in scale and reach; this iteration spanned the Sea of Japan, the East China Sea and the western Pacific, with US and Japanese fighters tracking the bombers along the route. The 11th outing lands amid a sharp deterioration in Beijing-Tokyo relations and underscores how closely the two militaries are now coordinating long-range air operations along Japan’s and South Korea’s approaches.</w:t>
      </w:r>
    </w:p>
    <w:p>
      <w:pPr>
        <w:pStyle w:val="BodyText"/>
      </w:pPr>
      <w:r>
        <w:rPr>
          <w:b/>
          <w:bCs/>
        </w:rPr>
        <w:t xml:space="preserve">References</w:t>
      </w:r>
    </w:p>
    <w:p>
      <w:pPr>
        <w:pStyle w:val="BodyText"/>
      </w:pPr>
      <w:r>
        <w:t xml:space="preserve">[11] Koja, K. (2026, June 29). China, Japan ADIZ, South Korea, Russia aircraft. Stars and Stripes. https://www.stripes.com/theaters/asia_pacific/2026-06-29/china-japan-adiz-south-korea-russia-aircraft-22113024.html</w:t>
      </w:r>
      <w:r>
        <w:t xml:space="preserve"> </w:t>
      </w:r>
      <w:r>
        <w:t xml:space="preserve">[12] Bloomberg. (2026, June 29). Japan protests China maritime claims near southern island. Bloomberg. https://www.bloomberg.com/news/articles/2026-06-29/japan-protests-china-maritime-claims-near-southern-island</w:t>
      </w:r>
      <w:r>
        <w:t xml:space="preserve"> </w:t>
      </w:r>
      <w:r>
        <w:t xml:space="preserve">[13] Global Times. (2026, June 27). China, Russia conduct 11th joint strategic air patrol. Global Times. https://www.globaltimes.cn/page/202606/1364646.shtml</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3"/>
    <w:bookmarkEnd w:id="14"/>
    <w:bookmarkStart w:id="15" w:name="technology-industry"/>
    <w:p>
      <w:pPr>
        <w:pStyle w:val="Heading2"/>
      </w:pPr>
      <w:r>
        <w:t xml:space="preserve">3. Technology &amp; Industry</w:t>
      </w:r>
    </w:p>
    <w:p>
      <w:pPr>
        <w:pStyle w:val="FirstParagraph"/>
      </w:pPr>
      <w:r>
        <w:rPr>
          <w:i/>
          <w:iCs/>
        </w:rPr>
        <w:t xml:space="preserve">Note: only 0 stories met T1-T4 standards for this category today.</w:t>
      </w:r>
    </w:p>
    <w:p>
      <w:r>
        <w:pict>
          <v:rect style="width:0;height:1.5pt" o:hralign="center" o:hrstd="t" o:hr="t"/>
        </w:pict>
      </w:r>
    </w:p>
    <w:bookmarkEnd w:id="15"/>
    <w:bookmarkStart w:id="18" w:name="society-livelihood"/>
    <w:p>
      <w:pPr>
        <w:pStyle w:val="Heading2"/>
      </w:pPr>
      <w:r>
        <w:t xml:space="preserve">4. Society &amp; Livelihood</w:t>
      </w:r>
    </w:p>
    <w:bookmarkStart w:id="16" w:name="X49391dce6eaa79bf50fe874cbb8a193b0e71ed8"/>
    <w:p>
      <w:pPr>
        <w:pStyle w:val="Heading3"/>
      </w:pPr>
      <w:r>
        <w:t xml:space="preserve">HRW says Beijing has tightened social control across Hong Kong</w:t>
      </w:r>
    </w:p>
    <w:p>
      <w:pPr>
        <w:pStyle w:val="FirstParagraph"/>
      </w:pPr>
      <w:r>
        <w:t xml:space="preserve">Human Rights Watch published a major report on June 29 documenting how the national security architecture has expanded its reach into Hong Kong’s legislature, schools and commercial life. Authored by Asia Director Elaine Pearson, the report records 401 arrests under the national security law for speech acts and 182 convictions, against a national security budget raised to HK$18 billion ($2.3 billion).</w:t>
      </w:r>
    </w:p>
    <w:p>
      <w:pPr>
        <w:pStyle w:val="BodyText"/>
      </w:pPr>
      <w:r>
        <w:t xml:space="preserve">Two recent legal changes anchor the findings. In March 2026 police gained statutory authority to demand device passwords from suspects, with refusal punishable by up to a year in jail. Then in June 2026 the government bypassed the legislature through subsidiary legislation, letting the Chief Executive designate any criminal offense a national security case — a power that strips defendants of bail rights and trial by impartial judges. National security arrests are increasingly kept confidential as police stop publicizing them.</w:t>
      </w:r>
    </w:p>
    <w:p>
      <w:pPr>
        <w:pStyle w:val="BodyText"/>
      </w:pPr>
      <w:r>
        <w:t xml:space="preserve">The report also maps how Beijing’s institutional grip now runs through the legislature itself: 27 of 90 legislators hold concurrent positions in Chinese national institutions, and at least 45 lawmakers serve on the boards of Chinese state-owned enterprises — a 60% increase over the prior term. National security compliance clauses have spread into restaurant licenses and commercial permits, and patriotic education is embedded in school curricula. HRW cites the November 2025 Tai Po housing fire as evidence of how scrutiny and secrecy now shape public life.</w:t>
      </w:r>
    </w:p>
    <w:p>
      <w:pPr>
        <w:pStyle w:val="BodyText"/>
      </w:pPr>
      <w:r>
        <w:rPr>
          <w:b/>
          <w:bCs/>
        </w:rPr>
        <w:t xml:space="preserve">References</w:t>
      </w:r>
    </w:p>
    <w:p>
      <w:pPr>
        <w:pStyle w:val="BodyText"/>
      </w:pPr>
      <w:r>
        <w:t xml:space="preserve">[14] Human Rights Watch. (2026, June 29). Hong Kong: Beijing tightens social control. Human Rights Watch. https://www.hrw.org/news/2026/06/29/hong-kong-beijing-tightens-social-control</w:t>
      </w:r>
      <w:r>
        <w:t xml:space="preserve"> </w:t>
      </w:r>
      <w:r>
        <w:t xml:space="preserve">[15] Chan, A. (2026, June 29). How Hong Kong quietly rehabilitates former protesters. Nikkei Asia. https://asia.nikkei.com/spotlight/hong-kong-security-law/how-hong-kong-quietly-rehabilitates-former-protesters</w:t>
      </w:r>
      <w:r>
        <w:t xml:space="preserve"> </w:t>
      </w:r>
      <w:r>
        <w:t xml:space="preserve">[16] Hong Kong Free Press. (2026, March 23). Hong Kong introduces offence requiring national security suspects to hand over passwords. Hong Kong Free Press. https://hongkongfp.com/2026/03/23/hong-kong-introduces-offence-requiring-national-security-suspects-to-hand-over-passwords/</w:t>
      </w:r>
    </w:p>
    <w:p>
      <w:r>
        <w:pict>
          <v:rect style="width:0;height:1.5pt" o:hralign="center" o:hrstd="t" o:hr="t"/>
        </w:pict>
      </w:r>
    </w:p>
    <w:bookmarkEnd w:id="16"/>
    <w:bookmarkStart w:id="17" w:name="Xfba2a31c2b823d47eef42cc2a72a07f07a7463f"/>
    <w:p>
      <w:pPr>
        <w:pStyle w:val="Heading3"/>
      </w:pPr>
      <w:r>
        <w:t xml:space="preserve">Hong Kong quietly re-contacts 2019 protest detainees never charged</w:t>
      </w:r>
    </w:p>
    <w:p>
      <w:pPr>
        <w:pStyle w:val="FirstParagraph"/>
      </w:pPr>
      <w:r>
        <w:t xml:space="preserve">A man identified as Jon received a phone call from a Hong Kong police officer roughly six years after his initial detention — despite never being charged — in what Nikkei Asia describes as a quiet program to</w:t>
      </w:r>
      <w:r>
        <w:t xml:space="preserve"> </w:t>
      </w:r>
      <w:r>
        <w:t xml:space="preserve">“rehabilitate”</w:t>
      </w:r>
      <w:r>
        <w:t xml:space="preserve"> </w:t>
      </w:r>
      <w:r>
        <w:t xml:space="preserve">former 2019 protest detainees who were released without prosecution. Correspondent Anne Chan reports authorities are re-contacting people left in legal limbo and offering them a fresh start</w:t>
      </w:r>
      <w:r>
        <w:t xml:space="preserve"> </w:t>
      </w:r>
      <w:r>
        <w:t xml:space="preserve">“within bounds of law.”</w:t>
      </w:r>
    </w:p>
    <w:p>
      <w:pPr>
        <w:pStyle w:val="BodyText"/>
      </w:pPr>
      <w:r>
        <w:t xml:space="preserve">The scale of that limbo is the story’s foundation. When police cracked down on the 2019 protests against a proposed extradition law, they arrested more than 10,000 people; roughly 3,000 faced prosecution, leaving some 7,000 with no charges filed and no resolution. Hong Kong’s secretary for security publicly acknowledged the effort in an April broadcast, describing a</w:t>
      </w:r>
      <w:r>
        <w:t xml:space="preserve"> </w:t>
      </w:r>
      <w:r>
        <w:t xml:space="preserve">“special program”</w:t>
      </w:r>
      <w:r>
        <w:t xml:space="preserve"> </w:t>
      </w:r>
      <w:r>
        <w:t xml:space="preserve">launched one to two years earlier aimed at those arrested but never charged, insisting it remained within the law.</w:t>
      </w:r>
    </w:p>
    <w:p>
      <w:pPr>
        <w:pStyle w:val="BodyText"/>
      </w:pPr>
      <w:r>
        <w:t xml:space="preserve">The reporting is part of Nikkei’s</w:t>
      </w:r>
      <w:r>
        <w:t xml:space="preserve"> </w:t>
      </w:r>
      <w:r>
        <w:t xml:space="preserve">“Hong Kong security law”</w:t>
      </w:r>
      <w:r>
        <w:t xml:space="preserve"> </w:t>
      </w:r>
      <w:r>
        <w:t xml:space="preserve">series and dovetails with the HRW findings: a security apparatus that increasingly operates through quiet contact and administrative discretion rather than public prosecution.</w:t>
      </w:r>
    </w:p>
    <w:p>
      <w:pPr>
        <w:pStyle w:val="BodyText"/>
      </w:pPr>
      <w:r>
        <w:rPr>
          <w:b/>
          <w:bCs/>
        </w:rPr>
        <w:t xml:space="preserve">References</w:t>
      </w:r>
    </w:p>
    <w:p>
      <w:pPr>
        <w:pStyle w:val="BodyText"/>
      </w:pPr>
      <w:r>
        <w:t xml:space="preserve">[17] Chan, A. (2026, June 29). How Hong Kong quietly rehabilitates former protesters. Nikkei Asia. https://asia.nikkei.com/spotlight/hong-kong-security-law/how-hong-kong-quietly-rehabilitates-former-protesters</w:t>
      </w:r>
      <w:r>
        <w:t xml:space="preserve"> </w:t>
      </w:r>
      <w:r>
        <w:t xml:space="preserve">[18] Human Rights Watch. (2026, June 29). Hong Kong: Beijing tightens social control. Human Rights Watch. https://www.hrw.org/news/2026/06/29/hong-kong-beijing-tightens-social-control</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7"/>
    <w:bookmarkEnd w:id="18"/>
    <w:bookmarkStart w:id="20" w:name="china-nexus-finance-investment"/>
    <w:p>
      <w:pPr>
        <w:pStyle w:val="Heading2"/>
      </w:pPr>
      <w:r>
        <w:t xml:space="preserve">5. China-Nexus Finance &amp; Investment</w:t>
      </w:r>
    </w:p>
    <w:bookmarkStart w:id="19" w:name="X314ef142be8d22cafa6f44f3c5162760669a57a"/>
    <w:p>
      <w:pPr>
        <w:pStyle w:val="Heading3"/>
      </w:pPr>
      <w:r>
        <w:t xml:space="preserve">China blacklists 40 Japanese defense-linked entities as Takaichi feud deepens</w:t>
      </w:r>
    </w:p>
    <w:p>
      <w:pPr>
        <w:pStyle w:val="FirstParagraph"/>
      </w:pPr>
      <w:r>
        <w:t xml:space="preserve">China’s Ministry of Commerce announced two rounds of export restrictions targeting 40 Japanese entities on June 29, the sharpest escalation yet in a feud that has soured Beijing-Tokyo relations since late 2025. Twenty entities — including the National Institute for Defense Studies and Mitsubishi Electric Defense and Space Technologies Corporation — were placed on the export control blacklist, barring Chinese and foreign exporters from supplying them with China-made dual-use items. Twenty more, among them Mitsui E&amp;S plus divisions of Fujitsu and Komatsu, were added to a watch list requiring special export licenses, risk assessments and written pledges that dual-use goods will not be used for military purposes. Bloomberg put the combined total at 40-plus entities.</w:t>
      </w:r>
    </w:p>
    <w:p>
      <w:pPr>
        <w:pStyle w:val="BodyText"/>
      </w:pPr>
      <w:r>
        <w:t xml:space="preserve">MOFCOM defended the move in blunt terms.</w:t>
      </w:r>
      <w:r>
        <w:t xml:space="preserve"> </w:t>
      </w:r>
      <w:r>
        <w:t xml:space="preserve">“China’s measures are entirely justified, reasonable and lawful. They are aimed at firmly deterring Japan’s reckless pursuit of</w:t>
      </w:r>
      <w:r>
        <w:t xml:space="preserve"> </w:t>
      </w:r>
      <w:r>
        <w:t xml:space="preserve">‘new militarism,’</w:t>
      </w:r>
      <w:r>
        <w:t xml:space="preserve">”</w:t>
      </w:r>
      <w:r>
        <w:t xml:space="preserve"> </w:t>
      </w:r>
      <w:r>
        <w:t xml:space="preserve">a ministry spokesperson said. Beijing frames the listed firms as contributors to Japanese remilitarization.</w:t>
      </w:r>
    </w:p>
    <w:p>
      <w:pPr>
        <w:pStyle w:val="BodyText"/>
      </w:pPr>
      <w:r>
        <w:t xml:space="preserve">The escalation follows a February 2026 round that targeted 20 Japanese institutions, and traces back to Japanese Prime Minister Sanae Takaichi’s November 2025 statement suggesting Japan might intervene militarily in a Taiwan crisis — a remark Beijing has treated as a red line. With each round widening the corporate net from pure defense research into shipbuilding, electronics and heavy machinery, the controls are starting to reach commercial supply chains well beyond the military sector.</w:t>
      </w:r>
    </w:p>
    <w:p>
      <w:pPr>
        <w:pStyle w:val="BodyText"/>
      </w:pPr>
      <w:r>
        <w:rPr>
          <w:b/>
          <w:bCs/>
        </w:rPr>
        <w:t xml:space="preserve">References</w:t>
      </w:r>
    </w:p>
    <w:p>
      <w:pPr>
        <w:pStyle w:val="BodyText"/>
      </w:pPr>
      <w:r>
        <w:t xml:space="preserve">[19] Mistreanu, S. (2026, June 29). China imposes export controls on 40 Japanese entities as tensions with Tokyo rise. Associated Press (Local10). https://www.local10.com/news/2026/06/29/china-imposes-export-controls-on-40-japanese-entities-as-tensions-with-tokyo-rise/</w:t>
      </w:r>
      <w:r>
        <w:t xml:space="preserve"> </w:t>
      </w:r>
      <w:r>
        <w:t xml:space="preserve">[20] Agence France-Presse. (2026, June 29). China adds 20 Japanese organisations to export blacklist. Hong Kong Free Press. https://hongkongfp.com/2026/06/29/china-adds-20-japanese-organisations-to-export-blacklist/</w:t>
      </w:r>
      <w:r>
        <w:t xml:space="preserve"> </w:t>
      </w:r>
      <w:r>
        <w:t xml:space="preserve">[21] Suzuki, W. (2026, June 29). China restricts exports to Mitsubishi, Hitachi, Komatsu units. Nikkei Asia. https://asia.nikkei.com/politics/international-relations/japan-china-tensions/china-restricts-exports-to-mitsubishi-hitachi-komatsu-units</w:t>
      </w:r>
      <w:r>
        <w:t xml:space="preserve"> </w:t>
      </w:r>
      <w:r>
        <w:t xml:space="preserve">[22] Bloomberg. (2026, June 29). China blacklists more Japan entities as Takaichi feud deepens. Bloomberg. https://www.bloomberg.com/news/articles/2026-06-29/china-blacklists-more-japan-entities-as-takaichi-feud-deepens</w:t>
      </w:r>
      <w:r>
        <w:t xml:space="preserve"> </w:t>
      </w:r>
      <w:r>
        <w:t xml:space="preserve">[23] CNBC. (2026, June 29). China-Japan export controls watch list defense entities. CNBC. https://www.cnbc.com/2026/06/29/china-japan-export-controls-watch-list-defense-entities.html</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9"/>
    <w:bookmarkEnd w:id="20"/>
    <w:bookmarkStart w:id="24" w:name="corporate-ipo-ma"/>
    <w:p>
      <w:pPr>
        <w:pStyle w:val="Heading2"/>
      </w:pPr>
      <w:r>
        <w:t xml:space="preserve">6. Corporate IPO &amp; M&amp;A</w:t>
      </w:r>
    </w:p>
    <w:bookmarkStart w:id="21" w:name="X4dd806a830deaabe4d9b1b65243ca393781f50b"/>
    <w:p>
      <w:pPr>
        <w:pStyle w:val="Heading3"/>
      </w:pPr>
      <w:r>
        <w:t xml:space="preserve">Crealights Technology lists in Hong Kong on AI optical-interconnect demand</w:t>
      </w:r>
    </w:p>
    <w:p>
      <w:pPr>
        <w:pStyle w:val="FirstParagraph"/>
      </w:pPr>
      <w:r>
        <w:t xml:space="preserve">Crealights Technology Co., Ltd. listed on the Hong Kong Stock Exchange Main Board on June 29, pricing 13.43 million H shares at HKD 114.00 each for a market capitalization at offer of roughly HKD 10.21 billion (~$1.31 billion). The company makes high-speed optical transceivers and photonic integrated circuits for data center and AI compute interconnects.</w:t>
      </w:r>
    </w:p>
    <w:p>
      <w:pPr>
        <w:pStyle w:val="BodyText"/>
      </w:pPr>
      <w:r>
        <w:t xml:space="preserve">The product line runs across 100G, 200G, 400G and 800G optical transceivers, including silicon-photonics-based modules, plus active optical and active electrical cables. By Frost &amp; Sullivan’s count, Crealights ranked 17th globally among optical-transceiver suppliers by 2025 revenue, with a 0.8% market share — a small player riding a market that is expanding fast as AI data centers shift their internal interconnects from copper to light.</w:t>
      </w:r>
    </w:p>
    <w:p>
      <w:pPr>
        <w:pStyle w:val="BodyText"/>
      </w:pPr>
      <w:r>
        <w:t xml:space="preserve">The listing is one of a cluster of Chinese photonics names tapping Hong Kong this year, as investors chase exposure to the optical backbone of AI infrastructure buildouts.</w:t>
      </w:r>
    </w:p>
    <w:p>
      <w:pPr>
        <w:pStyle w:val="BodyText"/>
      </w:pPr>
      <w:r>
        <w:rPr>
          <w:b/>
          <w:bCs/>
        </w:rPr>
        <w:t xml:space="preserve">References</w:t>
      </w:r>
    </w:p>
    <w:p>
      <w:pPr>
        <w:pStyle w:val="BodyText"/>
      </w:pPr>
      <w:r>
        <w:t xml:space="preserve">[24] IPOX. (2026, June 29). The IPOX IPO Calendar. IPOX. https://www.ipox.com/upcoming-ipos</w:t>
      </w:r>
      <w:r>
        <w:t xml:space="preserve"> </w:t>
      </w:r>
      <w:r>
        <w:t xml:space="preserve">[25] The Standard. (2026, June 29). Crealights Technology Hong Kong listing. The Standard. https://thestandard.com.hk</w:t>
      </w:r>
      <w:r>
        <w:t xml:space="preserve"> </w:t>
      </w:r>
      <w:r>
        <w:t xml:space="preserve">[26] Lightwave Online. (2026). Crealights: Optical transceivers based on silicon photonics interposer. Lightwave Online. https://www.lightwaveonline.com/home/product/55355505/crealights-optical-transceivers-based-on-silicon-photonics-interposer</w:t>
      </w:r>
    </w:p>
    <w:p>
      <w:r>
        <w:pict>
          <v:rect style="width:0;height:1.5pt" o:hralign="center" o:hrstd="t" o:hr="t"/>
        </w:pict>
      </w:r>
    </w:p>
    <w:bookmarkEnd w:id="21"/>
    <w:bookmarkStart w:id="22" w:name="Xd2406d1e5b9fee34aad195d9a671cf8683f2635"/>
    <w:p>
      <w:pPr>
        <w:pStyle w:val="Heading3"/>
      </w:pPr>
      <w:r>
        <w:t xml:space="preserve">GM-backed Momenta launches $752M Hong Kong IPO at $9B valuation</w:t>
      </w:r>
    </w:p>
    <w:p>
      <w:pPr>
        <w:pStyle w:val="FirstParagraph"/>
      </w:pPr>
      <w:r>
        <w:t xml:space="preserve">Momenta Global Ltd., the Suzhou-based autonomous-driving firm, opened its Hong Kong IPO on June 29 seeking roughly HK$5.89 billion (~$752 million), offering about 19.9 million shares at HKD 295.60 each and implying a valuation of nearly $9 billion. Cornerstone investors include Mercedes-Benz, BlackRock, Boyu Capital, GIC and Fidelity International; the company is backed by General Motors and Tencent Holdings.</w:t>
      </w:r>
    </w:p>
    <w:p>
      <w:pPr>
        <w:pStyle w:val="BodyText"/>
      </w:pPr>
      <w:r>
        <w:t xml:space="preserve">The proceeds plan reflects where Momenta sees its competitive battle: 60% to R&amp;D and 20% to its Robotaxi business. Founded in 2016 by Cao Xudong — a former Microsoft engineer who runs the company as CEO — Momenta supplies driver-assistance and autonomous software that, as of end-2025, ran in more than 680,000 vehicles. Its automaker backers stretch beyond GM to Toyota, Mercedes-Benz and SAIC, giving it one of the broadest OEM footprints among Chinese self-driving firms.</w:t>
      </w:r>
    </w:p>
    <w:p>
      <w:pPr>
        <w:pStyle w:val="BodyText"/>
      </w:pPr>
      <w:r>
        <w:t xml:space="preserve">The Hong Kong listing follows a confidential filing earlier this year and a pivot away from a US listing. Allocation results are expected July 7, with trading set to begin July 8.</w:t>
      </w:r>
    </w:p>
    <w:p>
      <w:pPr>
        <w:pStyle w:val="BodyText"/>
      </w:pPr>
      <w:r>
        <w:rPr>
          <w:b/>
          <w:bCs/>
        </w:rPr>
        <w:t xml:space="preserve">References</w:t>
      </w:r>
    </w:p>
    <w:p>
      <w:pPr>
        <w:pStyle w:val="BodyText"/>
      </w:pPr>
      <w:r>
        <w:t xml:space="preserve">[27] Bloomberg. (2026, June 29). GM-backed self-driving firm Momenta seeks $752 million from Hong Kong listing. Bloomberg. https://www.bloomberg.com/news/articles/2026-06-29/gm-backed-self-driving-firm-momenta-seeks-752-million-from-hong-kong-listing</w:t>
      </w:r>
      <w:r>
        <w:t xml:space="preserve"> </w:t>
      </w:r>
      <w:r>
        <w:t xml:space="preserve">[28] Reuters. (2026, June 29). China’s Momenta seeks up to $751 million in Hong Kong IPO to boost autonomous driving R&amp;D. Investing.com. https://www.investing.com/news/stock-market-news/chinas-momenta-seeks-up-to-751-million-in-hong-kong-ipo-to-boost-autonomous-driving-rd-4764186</w:t>
      </w:r>
      <w:r>
        <w:t xml:space="preserve"> </w:t>
      </w:r>
      <w:r>
        <w:t xml:space="preserve">[29] Cryptobriefing. (2026, June 29). Momenta Hong Kong IPO raises $751M. Cryptobriefing. https://cryptobriefing.com/momenta-hong-kong-ipo-751m/</w:t>
      </w:r>
      <w:r>
        <w:t xml:space="preserve"> </w:t>
      </w:r>
      <w:r>
        <w:t xml:space="preserve">[30] Automotive World. (2026). China’s Momenta approved for Hong Kong IPO after US setback. Automotive World. https://www.automotiveworld.com/news/chinas-momenta-approved-for-hong-kong-ipo-after-us-setback/</w:t>
      </w:r>
    </w:p>
    <w:p>
      <w:r>
        <w:pict>
          <v:rect style="width:0;height:1.5pt" o:hralign="center" o:hrstd="t" o:hr="t"/>
        </w:pict>
      </w:r>
    </w:p>
    <w:bookmarkEnd w:id="22"/>
    <w:bookmarkStart w:id="23" w:name="X0e8c1035e71ca8f9b8a2f11712f3cd5613edb0b"/>
    <w:p>
      <w:pPr>
        <w:pStyle w:val="Heading3"/>
      </w:pPr>
      <w:r>
        <w:t xml:space="preserve">Alebund Photonics lists in Hong Kong on silicon-photonics demand</w:t>
      </w:r>
    </w:p>
    <w:p>
      <w:pPr>
        <w:pStyle w:val="FirstParagraph"/>
      </w:pPr>
      <w:r>
        <w:t xml:space="preserve">Alebund Photonics Ltd. listed on the Hong Kong Stock Exchange on June 29, pricing 56.76 million H shares at HKD 22.60 each and raising approximately HKD 1.28 billion (~$164 million). The company builds photonic chips and silicon-photonics modules for AI data center interconnects.</w:t>
      </w:r>
    </w:p>
    <w:p>
      <w:pPr>
        <w:pStyle w:val="BodyText"/>
      </w:pPr>
      <w:r>
        <w:t xml:space="preserve">Its portfolio spans 100G through 800G optical transceivers, including silicon-photonics-based products, alongside active optical and active electrical cables — the same optical-connectivity stack AI clusters increasingly depend on as data rates outrun copper. The offering was made up entirely of primary shares with a 15% greenshoe option, and the bookrunners included BOCI Asia, CLSA, Huatai Financial, Jefferies and Merrill Lynch Asia Pacific.</w:t>
      </w:r>
    </w:p>
    <w:p>
      <w:pPr>
        <w:pStyle w:val="BodyText"/>
      </w:pPr>
      <w:r>
        <w:t xml:space="preserve">Alebund is the third China-linked photonics name in this batch of Hong Kong listings, alongside Crealights, reflecting how the AI buildout has turned optical-interconnect suppliers into one of the market’s most-sought IPO categories.</w:t>
      </w:r>
    </w:p>
    <w:p>
      <w:pPr>
        <w:pStyle w:val="BodyText"/>
      </w:pPr>
      <w:r>
        <w:rPr>
          <w:b/>
          <w:bCs/>
        </w:rPr>
        <w:t xml:space="preserve">References</w:t>
      </w:r>
    </w:p>
    <w:p>
      <w:pPr>
        <w:pStyle w:val="BodyText"/>
      </w:pPr>
      <w:r>
        <w:t xml:space="preserve">[31] IPOX. (2026, June 29). The IPOX IPO Calendar. IPOX. https://www.ipox.com/upcoming-ipos</w:t>
      </w:r>
      <w:r>
        <w:t xml:space="preserve"> </w:t>
      </w:r>
      <w:r>
        <w:t xml:space="preserve">[32] The Standard. (2026, June 29). Alebund Photonics Hong Kong listing. The Standard. https://thestandard.com.hk</w:t>
      </w:r>
    </w:p>
    <w:p>
      <w:r>
        <w:pict>
          <v:rect style="width:0;height:1.5pt" o:hralign="center" o:hrstd="t" o:hr="t"/>
        </w:pict>
      </w:r>
    </w:p>
    <w:bookmarkEnd w:id="23"/>
    <w:bookmarkEnd w:id="24"/>
    <w:bookmarkStart w:id="25" w:name="other-notable-events"/>
    <w:p>
      <w:pPr>
        <w:pStyle w:val="Heading2"/>
      </w:pPr>
      <w:r>
        <w:t xml:space="preserve">7. Other Notable Events</w:t>
      </w:r>
    </w:p>
    <w:p>
      <w:pPr>
        <w:pStyle w:val="FirstParagraph"/>
      </w:pPr>
      <w:r>
        <w:rPr>
          <w:i/>
          <w:iCs/>
        </w:rPr>
        <w:t xml:space="preserve">Note: only 0 stories met T1-T4 standards for this category today.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2026-06-29T09:19:51Z</dcterms:created>
  <dcterms:modified xsi:type="dcterms:W3CDTF">2026-06-29T09:19:51Z</dcterms:modified>
</cp:coreProperties>
</file>

<file path=docProps/custom.xml><?xml version="1.0" encoding="utf-8"?>
<Properties xmlns="http://schemas.openxmlformats.org/officeDocument/2006/custom-properties" xmlns:vt="http://schemas.openxmlformats.org/officeDocument/2006/docPropsVTypes"/>
</file>