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欧洲每日热点新闻-2026年5月28日"/>
    <w:p>
      <w:pPr>
        <w:pStyle w:val="Heading1"/>
      </w:pPr>
      <w:r>
        <w:rPr>
          <w:rFonts w:hint="eastAsia"/>
        </w:rPr>
        <w:t xml:space="preserve">欧洲每日热点新闻</w:t>
      </w:r>
      <w:r>
        <w:t xml:space="preserve"> — </w:t>
      </w:r>
      <w:r>
        <w:rPr>
          <w:rFonts w:hint="eastAsia"/>
        </w:rPr>
        <w:t xml:space="preserve">2026年5月28日</w:t>
      </w:r>
    </w:p>
    <w:bookmarkStart w:id="11" w:name="一经济与市场"/>
    <w:p>
      <w:pPr>
        <w:pStyle w:val="Heading2"/>
      </w:pPr>
      <w:r>
        <w:rPr>
          <w:rFonts w:hint="eastAsia"/>
        </w:rPr>
        <w:t xml:space="preserve">一、经济与市场</w:t>
      </w:r>
    </w:p>
    <w:bookmarkStart w:id="9" w:name="拉加德金边演讲警告全球央行独立性正在受到考验"/>
    <w:p>
      <w:pPr>
        <w:pStyle w:val="Heading3"/>
      </w:pPr>
      <w:r>
        <w:rPr>
          <w:rFonts w:hint="eastAsia"/>
        </w:rPr>
        <w:t xml:space="preserve">拉加德金边演讲警告，全球央行独立性“正在受到考验”</w:t>
      </w:r>
    </w:p>
    <w:p>
      <w:pPr>
        <w:pStyle w:val="FirstParagraph"/>
      </w:pPr>
      <w:r>
        <w:rPr>
          <w:rFonts w:hint="eastAsia"/>
        </w:rPr>
        <w:t xml:space="preserve">欧洲央行行长拉加德（Christine</w:t>
      </w:r>
      <w:r>
        <w:t xml:space="preserve"> </w:t>
      </w:r>
      <w:r>
        <w:rPr>
          <w:rFonts w:hint="eastAsia"/>
        </w:rPr>
        <w:t xml:space="preserve">Lagarde）5月28日在柬埔寨金边出席第28届法语国家央行行长会议，发表题为《关键时刻：在挑战中捍卫独立》（“When</w:t>
      </w:r>
      <w:r>
        <w:t xml:space="preserve"> It Matters Most: Upholding Independence in Challenging </w:t>
      </w:r>
      <w:r>
        <w:rPr>
          <w:rFonts w:hint="eastAsia"/>
        </w:rPr>
        <w:t xml:space="preserve">Times”）的演讲，警告全球央行独立性正经历近一代人以来最严峻的压力。她援引一项研究指出，过去十年间，占全球GDP</w:t>
      </w:r>
      <w:r>
        <w:t xml:space="preserve"> </w:t>
      </w:r>
      <w:r>
        <w:rPr>
          <w:rFonts w:hint="eastAsia"/>
        </w:rPr>
        <w:t xml:space="preserve">75%的经济体当中，“近半数央行的事实独立性出现倒退”，并将美国联邦储备委员会与特朗普政府的公开冲突列为最具代表性的案例。</w:t>
      </w:r>
    </w:p>
    <w:p>
      <w:pPr>
        <w:pStyle w:val="BodyText"/>
      </w:pPr>
      <w:r>
        <w:rPr>
          <w:rFonts w:hint="eastAsia"/>
        </w:rPr>
        <w:t xml:space="preserve">拉加德把央行独立放在制度演化的长河中审视。她回顾，到2000年前后，全球已有“五分之四以上的央行”获得运营独立性，但法律层面的独立并不等于权力层面的独立——欧洲央行自身用了“约25年”才让公众对其货币政策框架真正建立起信任。她引用条约写就的那句“条约赋予欧洲央行法律上的独立，而历次危机赋予了它此前所欠缺的、能够有效行使这种独立的权威”，正是对这一段制度成长的总结。</w:t>
      </w:r>
    </w:p>
    <w:p>
      <w:pPr>
        <w:pStyle w:val="BodyText"/>
      </w:pPr>
      <w:r>
        <w:rPr>
          <w:rFonts w:hint="eastAsia"/>
        </w:rPr>
        <w:t xml:space="preserve">把这次讲话放进背景看，火力更明显。在过去一年间，特朗普多次扬言解雇美联储主席鲍威尔，并启动罢免美联储理事丽莎·库克（Lisa</w:t>
      </w:r>
      <w:r>
        <w:t xml:space="preserve"> </w:t>
      </w:r>
      <w:r>
        <w:rPr>
          <w:rFonts w:hint="eastAsia"/>
        </w:rPr>
        <w:t xml:space="preserve">Cook）的程序——这是美国历史上首次有总统试图免去一名在任的美联储理事。拉加德此前曾对彭博明确表示，任何破坏美联储独立的举动“将对美国和世界经济构成非常严重的危险”。金边演讲把这种“个案警告”升级为系统性诊断：风险已从单一国家蔓延为全球性的政治压力浪潮。</w:t>
      </w:r>
    </w:p>
    <w:p>
      <w:pPr>
        <w:pStyle w:val="BodyText"/>
      </w:pPr>
      <w:r>
        <w:rPr>
          <w:rFonts w:hint="eastAsia"/>
        </w:rPr>
        <w:t xml:space="preserve">她随后给出回答框架。“问题已不再仅仅是如何保障独立，而是当独立受到考验时如何保护它。”她强调，央行的最佳防线是公信力本身——“在公信力存在的地方，捍卫独立并不只是央行一人的肩头之责”。讲话以一句呼吁收尾：“我们需要作为欧洲共同行动，而不是各自为政，因为单独行动，我们都要弱得多。”</w:t>
      </w:r>
    </w:p>
    <w:p>
      <w:pPr>
        <w:pStyle w:val="BodyText"/>
      </w:pPr>
      <w:r>
        <w:rPr>
          <w:b/>
          <w:bCs/>
        </w:rPr>
        <w:t xml:space="preserve">References</w:t>
      </w:r>
    </w:p>
    <w:p>
      <w:pPr>
        <w:pStyle w:val="BodyText"/>
      </w:pPr>
      <w:r>
        <w:t xml:space="preserve">[1] Lagarde, C. (2026, May 28). When it matters most: Upholding independence in challenging times. European Central Bank. https://www.ecb.europa.eu/press/key/date/2026/html/ecb.sp260528~0cb263f599.en.html</w:t>
      </w:r>
      <w:r>
        <w:t xml:space="preserve"> </w:t>
      </w:r>
      <w:r>
        <w:t xml:space="preserve">[2] Eunews. (2026, May 28). Lagarde: Central bank independence is under attack and must be defended. Eunews. https://www.eunews.it/en/2026/05/28/lagarde-central-bank-independence-is-under-attack-and-must-be-defended/</w:t>
      </w:r>
      <w:r>
        <w:t xml:space="preserve"> </w:t>
      </w:r>
      <w:r>
        <w:t xml:space="preserve">[3] Fox Business. (2026, May 28). ECB’s Lagarde warns Trump’s Fed interference poses serious economic risk. Fox Business. https://www.foxbusiness.com/economy/world-leader-issues-warning-trump-fed-independence</w:t>
      </w:r>
    </w:p>
    <w:p>
      <w:r>
        <w:pict>
          <v:rect style="width:0;height:1.5pt" o:hralign="center" o:hrstd="t" o:hr="t"/>
        </w:pict>
      </w:r>
    </w:p>
    <w:bookmarkEnd w:id="9"/>
    <w:bookmarkStart w:id="10" w:name="欧盟竞争力理事会激辩工业加速器法案南北分歧公开化"/>
    <w:p>
      <w:pPr>
        <w:pStyle w:val="Heading3"/>
      </w:pPr>
      <w:r>
        <w:rPr>
          <w:rFonts w:hint="eastAsia"/>
        </w:rPr>
        <w:t xml:space="preserve">欧盟竞争力理事会激辩“工业加速器法案”，南北分歧公开化</w:t>
      </w:r>
    </w:p>
    <w:p>
      <w:pPr>
        <w:pStyle w:val="FirstParagraph"/>
      </w:pPr>
      <w:r>
        <w:rPr>
          <w:rFonts w:hint="eastAsia"/>
        </w:rPr>
        <w:t xml:space="preserve">欧盟竞争力理事会（内部市场与工业组）5月28日在布鲁塞尔召开会议，重点辩论3月4日由欧盟委员会提出的《工业加速器法案》（Industrial</w:t>
      </w:r>
      <w:r>
        <w:t xml:space="preserve"> Accelerator Act, </w:t>
      </w:r>
      <w:r>
        <w:rPr>
          <w:rFonts w:hint="eastAsia"/>
        </w:rPr>
        <w:t xml:space="preserve">IAA）。该法案设定的核心目标，是把工业部门占欧盟GDP的比重从2024年的14.3%提升至2035年的20%，并通过强制性的“Made</w:t>
      </w:r>
      <w:r>
        <w:t xml:space="preserve"> in </w:t>
      </w:r>
      <w:r>
        <w:rPr>
          <w:rFonts w:hint="eastAsia"/>
        </w:rPr>
        <w:t xml:space="preserve">EU”采购倾向、关键清洁技术领域的外资审查机制以及更快速的单一数字化许可流程，重塑欧盟的产业基础。</w:t>
      </w:r>
    </w:p>
    <w:p>
      <w:pPr>
        <w:pStyle w:val="BodyText"/>
      </w:pPr>
      <w:r>
        <w:rPr>
          <w:rFonts w:hint="eastAsia"/>
        </w:rPr>
        <w:t xml:space="preserve">会上，南欧与中东欧国家普遍支持加码工业政策、强化战略自主，而北欧与波罗的海六国——芬兰、瑞典、爱沙尼亚、拉脱维亚、立陶宛与荷兰——则联合表达担忧，警告强制性的“Made</w:t>
      </w:r>
      <w:r>
        <w:t xml:space="preserve"> in </w:t>
      </w:r>
      <w:r>
        <w:rPr>
          <w:rFonts w:hint="eastAsia"/>
        </w:rPr>
        <w:t xml:space="preserve">EU”条款会增加监管复杂度、抬高单一市场内的合规成本，可能损害欧盟开放经济的传统。这种分歧不是辞令上的差异：按照IAA的设计，公共资助的建筑、基础设施与车辆项目须在过渡期内满足最低低碳材料门槛，钢材与混凝土的“EU产”低碳比例分别设为25%和5%，铝则设为25%。投资门槛超过1亿欧元、且某单一第三国控制其全球产能40%以上的项目，将受到额外的外资审查。</w:t>
      </w:r>
    </w:p>
    <w:p>
      <w:pPr>
        <w:pStyle w:val="BodyText"/>
      </w:pPr>
      <w:r>
        <w:rPr>
          <w:rFonts w:hint="eastAsia"/>
        </w:rPr>
        <w:t xml:space="preserve">部长们还讨论了所谓的“第28种制度”——即“EU</w:t>
      </w:r>
      <w:r>
        <w:t xml:space="preserve"> </w:t>
      </w:r>
      <w:r>
        <w:rPr>
          <w:rFonts w:hint="eastAsia"/>
        </w:rPr>
        <w:t xml:space="preserve">Inc.”企业法律框架。这是一套可在所有27个成员国通用的可选式、全数字化的单一法律公司框架，被支持者视为欧洲版图上“统一公司法”的关键缺环。委员会则向各国通报了4月30日通过的修订版并购指南，将更明确地把欧洲产业竞争力纳入反垄断审查的考量。</w:t>
      </w:r>
    </w:p>
    <w:p>
      <w:pPr>
        <w:pStyle w:val="BodyText"/>
      </w:pPr>
      <w:r>
        <w:rPr>
          <w:rFonts w:hint="eastAsia"/>
        </w:rPr>
        <w:t xml:space="preserve">会议另一重点是把高能耗产业的能源成本议程推向前台。波兰、捷克、希腊与罗马尼亚四国代表团专门就欧盟碳排放交易体系（EU</w:t>
      </w:r>
      <w:r>
        <w:t xml:space="preserve"> Emissions Trading </w:t>
      </w:r>
      <w:r>
        <w:rPr>
          <w:rFonts w:hint="eastAsia"/>
        </w:rPr>
        <w:t xml:space="preserve">System）对能源密集型工业的冲击作了简报。理事会同时就3月26日至30日在喀麦隆雅温得举行的第14届世界贸易组织部长级会议进行总结，并通过了一份新的旅游战略结论性文件。按照欧盟的立法节奏，IAA最终落地时间预计不会早于2027年中后期。</w:t>
      </w:r>
    </w:p>
    <w:p>
      <w:pPr>
        <w:pStyle w:val="BodyText"/>
      </w:pPr>
      <w:r>
        <w:rPr>
          <w:b/>
          <w:bCs/>
        </w:rPr>
        <w:t xml:space="preserve">References</w:t>
      </w:r>
    </w:p>
    <w:p>
      <w:pPr>
        <w:pStyle w:val="BodyText"/>
      </w:pPr>
      <w:r>
        <w:t xml:space="preserve">[4] Council of the European Union. (2026, May 28). Competitiveness Council (Internal Market and Industry), 28 May 2026. Council of the European Union. https://www.consilium.europa.eu/en/meetings/compet/2026/05/28/</w:t>
      </w:r>
      <w:r>
        <w:t xml:space="preserve"> </w:t>
      </w:r>
      <w:r>
        <w:t xml:space="preserve">[5] European Commission. (2026, March 4). Commission proposes Industrial Accelerator Act to strengthen industry and create jobs in Europe. European Commission. https://ec.europa.eu/commission/presscorner/detail/en/ip_26_515</w:t>
      </w:r>
      <w:r>
        <w:t xml:space="preserve"> </w:t>
      </w:r>
      <w:r>
        <w:t xml:space="preserve">[6] Skadden, Arps, Slate, Meagher &amp; Flom LLP. (2026, April). European Commission proposes Industrial Accelerator Act: Prioritizing strategic sectors,</w:t>
      </w:r>
      <w:r>
        <w:t xml:space="preserve"> </w:t>
      </w:r>
      <w:r>
        <w:t xml:space="preserve">“Made in EU”</w:t>
      </w:r>
      <w:r>
        <w:t xml:space="preserve"> </w:t>
      </w:r>
      <w:r>
        <w:t xml:space="preserve">requirements and FDI controls. Skadden. https://www.skadden.com/insights/publications/2026/04/european-commission-proposes-industrial-accelerator-act</w:t>
      </w:r>
    </w:p>
    <w:p>
      <w:r>
        <w:pict>
          <v:rect style="width:0;height:1.5pt" o:hralign="center" o:hrstd="t" o:hr="t"/>
        </w:pict>
      </w:r>
    </w:p>
    <w:bookmarkEnd w:id="10"/>
    <w:bookmarkEnd w:id="11"/>
    <w:bookmarkStart w:id="14" w:name="二政治与外交"/>
    <w:p>
      <w:pPr>
        <w:pStyle w:val="Heading2"/>
      </w:pPr>
      <w:r>
        <w:rPr>
          <w:rFonts w:hint="eastAsia"/>
        </w:rPr>
        <w:t xml:space="preserve">二、政治与外交</w:t>
      </w:r>
    </w:p>
    <w:bookmarkStart w:id="12" w:name="利马索尔外长非正式会议卡拉斯警告俄特使陷阱"/>
    <w:p>
      <w:pPr>
        <w:pStyle w:val="Heading3"/>
      </w:pPr>
      <w:r>
        <w:rPr>
          <w:rFonts w:hint="eastAsia"/>
        </w:rPr>
        <w:t xml:space="preserve">利马索尔外长非正式会议，卡拉斯警告俄“特使陷阱”</w:t>
      </w:r>
    </w:p>
    <w:p>
      <w:pPr>
        <w:pStyle w:val="FirstParagraph"/>
      </w:pPr>
      <w:r>
        <w:rPr>
          <w:rFonts w:hint="eastAsia"/>
        </w:rPr>
        <w:t xml:space="preserve">欧盟外长非正式会议（Gymnich）5月27日至28日在塞浦路斯利马索尔举行，由欧盟外交与安全政策高级代表卡拉斯（Kaja</w:t>
      </w:r>
      <w:r>
        <w:t xml:space="preserve"> </w:t>
      </w:r>
      <w:r>
        <w:rPr>
          <w:rFonts w:hint="eastAsia"/>
        </w:rPr>
        <w:t xml:space="preserve">Kallas）与塞浦路斯外长孔波斯（Constantinos</w:t>
      </w:r>
      <w:r>
        <w:t xml:space="preserve"> </w:t>
      </w:r>
      <w:r>
        <w:rPr>
          <w:rFonts w:hint="eastAsia"/>
        </w:rPr>
        <w:t xml:space="preserve">Kombos）共同主持。在5月28日的会后记者会上，卡拉斯就近期围绕“欧盟应否任命一名对俄特使”的辩论作出强硬定调，称之为“俄罗斯想让我们落入的陷阱”。</w:t>
      </w:r>
    </w:p>
    <w:p>
      <w:pPr>
        <w:pStyle w:val="BodyText"/>
      </w:pPr>
      <w:r>
        <w:rPr>
          <w:rFonts w:hint="eastAsia"/>
        </w:rPr>
        <w:t xml:space="preserve">辩论的核心是人选与策略之争。会议讨论中浮现的潜在特使名单包括芬兰总统斯图布（Alexander</w:t>
      </w:r>
      <w:r>
        <w:t xml:space="preserve"> </w:t>
      </w:r>
      <w:r>
        <w:rPr>
          <w:rFonts w:hint="eastAsia"/>
        </w:rPr>
        <w:t xml:space="preserve">Stubb）、欧洲理事会主席科斯塔（António</w:t>
      </w:r>
      <w:r>
        <w:t xml:space="preserve"> </w:t>
      </w:r>
      <w:r>
        <w:rPr>
          <w:rFonts w:hint="eastAsia"/>
        </w:rPr>
        <w:t xml:space="preserve">Costa）、意大利前总理德拉吉（Mario</w:t>
      </w:r>
      <w:r>
        <w:t xml:space="preserve"> </w:t>
      </w:r>
      <w:r>
        <w:rPr>
          <w:rFonts w:hint="eastAsia"/>
        </w:rPr>
        <w:t xml:space="preserve">Draghi）与德国前总理默克尔（Angela</w:t>
      </w:r>
      <w:r>
        <w:t xml:space="preserve"> </w:t>
      </w:r>
      <w:r>
        <w:rPr>
          <w:rFonts w:hint="eastAsia"/>
        </w:rPr>
        <w:t xml:space="preserve">Merkel）；而克里姆林宫所青睐的德国前总理施罗德（Gerhard</w:t>
      </w:r>
      <w:r>
        <w:t xml:space="preserve"> </w:t>
      </w:r>
      <w:r>
        <w:rPr>
          <w:rFonts w:hint="eastAsia"/>
        </w:rPr>
        <w:t xml:space="preserve">Schröder）则被与会方含蓄地排除在外。卡拉斯主张暂缓任命，理由是更紧迫的不是“派谁去谈”，而是“谈什么”——“实质比人选重要得多”。她警告，欧洲若各自为政，将陷入俄罗斯擅长的双边博弈格局：“我们必须作为欧洲一个整体共同行动，而不是各成员国分别行动。因为单独行动，我们每一个都要弱得多。”</w:t>
      </w:r>
    </w:p>
    <w:p>
      <w:pPr>
        <w:pStyle w:val="BodyText"/>
      </w:pPr>
      <w:r>
        <w:rPr>
          <w:rFonts w:hint="eastAsia"/>
        </w:rPr>
        <w:t xml:space="preserve">针对俄方威胁升级的最新表态——莫斯科再次声称将对基辅采取“非对称回应”——卡拉斯给出近乎直白的反讽：“这种威胁四年了都没有奏效，我不认为现在会奏效。”她由此重申欧盟的极简版谈判立场：不在压力下让步、不接受冻结战线、不预先承认任何领土现状。</w:t>
      </w:r>
    </w:p>
    <w:p>
      <w:pPr>
        <w:pStyle w:val="BodyText"/>
      </w:pPr>
      <w:r>
        <w:rPr>
          <w:rFonts w:hint="eastAsia"/>
        </w:rPr>
        <w:t xml:space="preserve">会议同时邀请了重量级嘉宾。乌克兰外长西比哈（Andrii</w:t>
      </w:r>
      <w:r>
        <w:t xml:space="preserve"> </w:t>
      </w:r>
      <w:r>
        <w:rPr>
          <w:rFonts w:hint="eastAsia"/>
        </w:rPr>
        <w:t xml:space="preserve">Sybiha）作为受邀方出席，呼吁欧盟向制裁与援助提供“精确、可执行的步骤”。印度外长苏杰生（Jaishankar）与沙特阿拉伯外长费萨尔·本·法尔汉亲王（Prince</w:t>
      </w:r>
      <w:r>
        <w:t xml:space="preserve"> Faisal bin </w:t>
      </w:r>
      <w:r>
        <w:rPr>
          <w:rFonts w:hint="eastAsia"/>
        </w:rPr>
        <w:t xml:space="preserve">Farhan）加入了中东议题的讨论，重点之一是霍尔木兹海峡的航行自由——这一议题与当前中东战事抬高的能源价格直接相关，也部分解释了为什么卡拉斯的反“陷阱”表态会被刻意放在欧盟战略自主的整体框架下宣读。</w:t>
      </w:r>
    </w:p>
    <w:p>
      <w:pPr>
        <w:pStyle w:val="BodyText"/>
      </w:pPr>
      <w:r>
        <w:rPr>
          <w:b/>
          <w:bCs/>
        </w:rPr>
        <w:t xml:space="preserve">References</w:t>
      </w:r>
    </w:p>
    <w:p>
      <w:pPr>
        <w:pStyle w:val="BodyText"/>
      </w:pPr>
      <w:r>
        <w:t xml:space="preserve">[7] Kallas, K. (2026, May 28). Informal meeting of foreign affairs ministers (Gymnich): Press remarks by High Representative Kaja Kallas. European External Action Service. https://www.eeas.europa.eu/eeas/informal-meeting-foreign-affairs-ministers-gymnich-press-remarks-high-representative-kaja-kallas_en</w:t>
      </w:r>
      <w:r>
        <w:t xml:space="preserve"> </w:t>
      </w:r>
      <w:r>
        <w:t xml:space="preserve">[8] Euronews. (2026, May 28). EU countries insist on unity to avoid falling into Russia’s special envoy</w:t>
      </w:r>
      <w:r>
        <w:t xml:space="preserve"> </w:t>
      </w:r>
      <w:r>
        <w:t xml:space="preserve">“trap”</w:t>
      </w:r>
      <w:r>
        <w:t xml:space="preserve">. Euronews. https://www.euronews.com/my-europe/2026/05/28/eu-countries-insist-on-unity-to-avoid-falling-into-russias-special-envoy-trap</w:t>
      </w:r>
    </w:p>
    <w:p>
      <w:r>
        <w:pict>
          <v:rect style="width:0;height:1.5pt" o:hralign="center" o:hrstd="t" o:hr="t"/>
        </w:pict>
      </w:r>
    </w:p>
    <w:bookmarkEnd w:id="12"/>
    <w:bookmarkStart w:id="13" w:name="欧盟司法专员麦格拉思宣示对腐败零容忍西班牙匈牙利案件成焦点"/>
    <w:p>
      <w:pPr>
        <w:pStyle w:val="Heading3"/>
      </w:pPr>
      <w:r>
        <w:rPr>
          <w:rFonts w:hint="eastAsia"/>
        </w:rPr>
        <w:t xml:space="preserve">欧盟司法专员麦格拉思宣示“对腐败零容忍”，西班牙、匈牙利案件成焦点</w:t>
      </w:r>
    </w:p>
    <w:p>
      <w:pPr>
        <w:pStyle w:val="FirstParagraph"/>
      </w:pPr>
      <w:r>
        <w:rPr>
          <w:rFonts w:hint="eastAsia"/>
        </w:rPr>
        <w:t xml:space="preserve">欧盟司法专员麦格拉思（Michael</w:t>
      </w:r>
      <w:r>
        <w:t xml:space="preserve"> </w:t>
      </w:r>
      <w:r>
        <w:rPr>
          <w:rFonts w:hint="eastAsia"/>
        </w:rPr>
        <w:t xml:space="preserve">McGrath）5月28日接受Euronews独家专访，宣示欧盟“对腐败采取零容忍政策”，并直接点名两宗正在发酵的成员国案件——西班牙执政社会党总部遭警方搜查、匈牙利新政府推动解冻被冻结欧盟资金。这是欧盟委员会本届任期内对成员国法治议题最直接的一次公开介入。</w:t>
      </w:r>
    </w:p>
    <w:p>
      <w:pPr>
        <w:pStyle w:val="BodyText"/>
      </w:pPr>
      <w:r>
        <w:rPr>
          <w:rFonts w:hint="eastAsia"/>
        </w:rPr>
        <w:t xml:space="preserve">麦格拉思在专访中三度强调，腐败“侵蚀宝贵的公共资源”、“损害公众对制度的信任”，并坚持“国家执法机关有权在不受任何干预的情况下开展工作”。这番话被普遍解读为对西班牙首相桑切斯（Pedro</w:t>
      </w:r>
      <w:r>
        <w:t xml:space="preserve"> </w:t>
      </w:r>
      <w:r>
        <w:rPr>
          <w:rFonts w:hint="eastAsia"/>
        </w:rPr>
        <w:t xml:space="preserve">Sánchez）领导的执政党的隔空喊话——5月22日，西班牙国家法院授权对社会党马德里总部进行搜查，调查涉及该党高层成员被指控构筑一个意图干扰司法、向相关人员每月支付报酬的隐蔽网络；据涉案司法令记载，相关资金流总额超过17万欧元。</w:t>
      </w:r>
    </w:p>
    <w:p>
      <w:pPr>
        <w:pStyle w:val="BodyText"/>
      </w:pPr>
      <w:r>
        <w:rPr>
          <w:rFonts w:hint="eastAsia"/>
        </w:rPr>
        <w:t xml:space="preserve">匈牙利议题则呈现另一种张力。新任总理马扎尔（Péter</w:t>
      </w:r>
      <w:r>
        <w:t xml:space="preserve"> </w:t>
      </w:r>
      <w:r>
        <w:rPr>
          <w:rFonts w:hint="eastAsia"/>
        </w:rPr>
        <w:t xml:space="preserve">Magyar）正寻求解冻自2022年以来被欧盟扣留、累计高达104亿欧元的“复苏与韧性基金”（RRF）——这笔资金当年是在前任总理欧尔班（Viktor</w:t>
      </w:r>
      <w:r>
        <w:t xml:space="preserve"> </w:t>
      </w:r>
      <w:r>
        <w:rPr>
          <w:rFonts w:hint="eastAsia"/>
        </w:rPr>
        <w:t xml:space="preserve">Orbán）任内因法治倒退被冻结。布鲁塞尔为此设定的最后期限是2026年8月31日，届时匈牙利必须完成全部待办的改革里程碑。5月28日，马扎尔抵达布鲁塞尔，与比利时首相德韦弗（Bart</w:t>
      </w:r>
      <w:r>
        <w:t xml:space="preserve"> de </w:t>
      </w:r>
      <w:r>
        <w:rPr>
          <w:rFonts w:hint="eastAsia"/>
        </w:rPr>
        <w:t xml:space="preserve">Wever）以及北约秘书长吕特（Mark</w:t>
      </w:r>
      <w:r>
        <w:t xml:space="preserve"> </w:t>
      </w:r>
      <w:r>
        <w:rPr>
          <w:rFonts w:hint="eastAsia"/>
        </w:rPr>
        <w:t xml:space="preserve">Rutte）举行会谈，并将于5月29日与欧盟委员会主席冯德莱恩（von</w:t>
      </w:r>
      <w:r>
        <w:t xml:space="preserve"> der </w:t>
      </w:r>
      <w:r>
        <w:rPr>
          <w:rFonts w:hint="eastAsia"/>
        </w:rPr>
        <w:t xml:space="preserve">Leyen）正式会面。</w:t>
      </w:r>
    </w:p>
    <w:p>
      <w:pPr>
        <w:pStyle w:val="BodyText"/>
      </w:pPr>
      <w:r>
        <w:rPr>
          <w:rFonts w:hint="eastAsia"/>
        </w:rPr>
        <w:t xml:space="preserve">麦格拉思对匈牙利案给出了不同的语调：“我们作为委员会，将与他们合作，支持他们走上恢复法治的道路。”这种“严声调＋协作姿态”的混搭，反映出欧盟在执法工具上的现实约束：罚款与资金冻结是少数能直接施加的杠杆，但成员国的政权更替本身就可能改变博弈的方向。</w:t>
      </w:r>
    </w:p>
    <w:p>
      <w:pPr>
        <w:pStyle w:val="BodyText"/>
      </w:pPr>
      <w:r>
        <w:rPr>
          <w:b/>
          <w:bCs/>
        </w:rPr>
        <w:t xml:space="preserve">References</w:t>
      </w:r>
    </w:p>
    <w:p>
      <w:pPr>
        <w:pStyle w:val="BodyText"/>
      </w:pPr>
      <w:r>
        <w:t xml:space="preserve">[9] Euronews. (2026, May 28).</w:t>
      </w:r>
      <w:r>
        <w:t xml:space="preserve"> </w:t>
      </w:r>
      <w:r>
        <w:t xml:space="preserve">“Zero tolerance policy”</w:t>
      </w:r>
      <w:r>
        <w:t xml:space="preserve"> </w:t>
      </w:r>
      <w:r>
        <w:t xml:space="preserve">for corruption, EU Justice Commissioner McGrath tells Euronews. Euronews. https://www.euronews.com/my-europe/2026/05/28/zero-tolerance-policy-for-corruption-eu-justice-commissioner-mcgrath-tells-euronews</w:t>
      </w:r>
      <w:r>
        <w:t xml:space="preserve"> </w:t>
      </w:r>
      <w:r>
        <w:t xml:space="preserve">[10] The Washington Post. (2026, May 27). Spanish police search headquarters of PM Sánchez’s ruling Socialist party. The Washington Post. https://www.washingtonpost.com/world/2026/05/27/spain-socialist-headquarters-police-raid/f8982608-59a3-11f1-8a9d-afb1148204e1_story.html</w:t>
      </w:r>
    </w:p>
    <w:p>
      <w:r>
        <w:pict>
          <v:rect style="width:0;height:1.5pt" o:hralign="center" o:hrstd="t" o:hr="t"/>
        </w:pict>
      </w:r>
    </w:p>
    <w:bookmarkEnd w:id="13"/>
    <w:bookmarkEnd w:id="14"/>
    <w:bookmarkStart w:id="16" w:name="三科技与产业"/>
    <w:p>
      <w:pPr>
        <w:pStyle w:val="Heading2"/>
      </w:pPr>
      <w:r>
        <w:rPr>
          <w:rFonts w:hint="eastAsia"/>
        </w:rPr>
        <w:t xml:space="preserve">三、科技与产业</w:t>
      </w:r>
    </w:p>
    <w:bookmarkStart w:id="15" w:name="欧盟以数字服务法对temu开出2亿欧元罚单刷新dsa最高纪录"/>
    <w:p>
      <w:pPr>
        <w:pStyle w:val="Heading3"/>
      </w:pPr>
      <w:r>
        <w:rPr>
          <w:rFonts w:hint="eastAsia"/>
        </w:rPr>
        <w:t xml:space="preserve">欧盟以《数字服务法》对Temu开出2亿欧元罚单，刷新DSA最高纪录</w:t>
      </w:r>
    </w:p>
    <w:p>
      <w:pPr>
        <w:pStyle w:val="FirstParagraph"/>
      </w:pPr>
      <w:r>
        <w:rPr>
          <w:rFonts w:hint="eastAsia"/>
        </w:rPr>
        <w:t xml:space="preserve">欧盟委员会5月28日宣布对中国电商平台Temu处以2亿欧元（约合2.32亿美元）罚款，理由是其违反《数字服务法》（Digital</w:t>
      </w:r>
      <w:r>
        <w:t xml:space="preserve"> Services Act, </w:t>
      </w:r>
      <w:r>
        <w:rPr>
          <w:rFonts w:hint="eastAsia"/>
        </w:rPr>
        <w:t xml:space="preserve">DSA）中关于平台风险评估的核心义务。这是DSA实施以来开出的最高单笔罚款，也是该法仅有的第二份“不合规决定”——上一份是2025年12月针对X（前Twitter）的1.2亿欧元罚单。</w:t>
      </w:r>
    </w:p>
    <w:p>
      <w:pPr>
        <w:pStyle w:val="BodyText"/>
      </w:pPr>
      <w:r>
        <w:rPr>
          <w:rFonts w:hint="eastAsia"/>
        </w:rPr>
        <w:t xml:space="preserve">委员会的认定锋利而具体：Temu在2024年提交的风险评估“严重低估了欧盟消费者接触到非法商品的频率”。负责技术主权的委员会执行副主席维尔库宁（Henna</w:t>
      </w:r>
      <w:r>
        <w:t xml:space="preserve"> </w:t>
      </w:r>
      <w:r>
        <w:rPr>
          <w:rFonts w:hint="eastAsia"/>
        </w:rPr>
        <w:t xml:space="preserve">Virkkunen）在新闻稿中直言：“风险评估不是打勾应付的形式——它是DSA的脊梁。”Temu须在2026年8月28日前提交一份矫正行动计划，否则将面临进一步、按全球营收百分比计算的财务制裁。</w:t>
      </w:r>
    </w:p>
    <w:p>
      <w:pPr>
        <w:pStyle w:val="BodyText"/>
      </w:pPr>
      <w:r>
        <w:rPr>
          <w:rFonts w:hint="eastAsia"/>
        </w:rPr>
        <w:t xml:space="preserve">把这宗罚单放在DSA执法的时间表上看，节奏在加快。欧盟委员会于2024年5月将Temu指定为“超大型在线平台”（VLOP），依据是其在欧盟月活用户超过4500万的门槛；同年9月，Temu自报欧盟月活用户已达9200万。2024年10月31日，委员会正式对Temu启动DSA下的合规调查，调查范围覆盖非法商品销售、推荐系统的潜在成瘾性设计、以及向研究人员开放数据的义务。本次罚单针对的正是其中“非法商品”链条上的风险评估缺陷——委员会的调查样本显示，从有缺陷的婴儿玩具到不合规的手机充电器，违法商品在平台上呈现高频可见。</w:t>
      </w:r>
    </w:p>
    <w:p>
      <w:pPr>
        <w:pStyle w:val="BodyText"/>
      </w:pPr>
      <w:r>
        <w:rPr>
          <w:rFonts w:hint="eastAsia"/>
        </w:rPr>
        <w:t xml:space="preserve">罚单的产业含义远不止2亿欧元。DSA对VLOP的最高罚则可达全球年营收的6%；对Temu母公司拼多多而言，本次裁定是欧盟首次在该法律框架下对一家亚洲电商作出“非合规”认定，相当于把合规风险定价正式写入跨境电商的成本曲线。从X到Temu，欧盟也借此释放信号：DSA不是装饰性立法，而是一个会真出手、且金额逐步抬升的执法体系。</w:t>
      </w:r>
    </w:p>
    <w:p>
      <w:pPr>
        <w:pStyle w:val="BodyText"/>
      </w:pPr>
      <w:r>
        <w:rPr>
          <w:b/>
          <w:bCs/>
        </w:rPr>
        <w:t xml:space="preserve">References</w:t>
      </w:r>
    </w:p>
    <w:p>
      <w:pPr>
        <w:pStyle w:val="BodyText"/>
      </w:pPr>
      <w:r>
        <w:t xml:space="preserve">[11] European Commission. (2026, May 28). Commission fines Temu €200 million under the Digital Services Act. European Commission. https://ec.europa.eu/commission/presscorner/detail/en/ip_26_1178</w:t>
      </w:r>
      <w:r>
        <w:t xml:space="preserve"> </w:t>
      </w:r>
      <w:r>
        <w:t xml:space="preserve">[12] Euronews. (2026, May 28). EU fines Chinese e-commerce giant Temu €200 million for dangerous baby toys and faulty chargers. Euronews. https://www.euronews.com/next/2026/05/28/eu-fines-chinese-e-commerce-giant-temu-200-million-for-dangerous-baby-toys-and-faulty-char</w:t>
      </w:r>
      <w:r>
        <w:t xml:space="preserve"> </w:t>
      </w:r>
      <w:r>
        <w:t xml:space="preserve">[13] Bloomberg. (2026, May 28). Temu fined $200 million by EU for sales of unsafe toys, chargers. Bloomberg. https://www.bloomberg.com/news/articles/2026-05-28/temu-fined-200-million-by-eu-for-sales-of-unsafe-toys-chargers</w:t>
      </w:r>
      <w:r>
        <w:t xml:space="preserve"> </w:t>
      </w:r>
      <w:r>
        <w:t xml:space="preserve">[14] European Commission. (2024, May 31). DSA: Commission designates Temu as VLOP. European Commission. https://ec.europa.eu/commission/presscorner/detail/en/ip_24_3047</w:t>
      </w:r>
    </w:p>
    <w:p>
      <w:r>
        <w:pict>
          <v:rect style="width:0;height:1.5pt" o:hralign="center" o:hrstd="t" o:hr="t"/>
        </w:pict>
      </w:r>
    </w:p>
    <w:bookmarkEnd w:id="15"/>
    <w:bookmarkEnd w:id="16"/>
    <w:bookmarkStart w:id="20" w:name="四社会与民生"/>
    <w:p>
      <w:pPr>
        <w:pStyle w:val="Heading2"/>
      </w:pPr>
      <w:r>
        <w:rPr>
          <w:rFonts w:hint="eastAsia"/>
        </w:rPr>
        <w:t xml:space="preserve">四、社会与民生</w:t>
      </w:r>
    </w:p>
    <w:bookmarkStart w:id="17" w:name="欧洲五月罕见热浪刷新多国纪录联合国呼吁加快摆脱化石燃料"/>
    <w:p>
      <w:pPr>
        <w:pStyle w:val="Heading3"/>
      </w:pPr>
      <w:r>
        <w:rPr>
          <w:rFonts w:hint="eastAsia"/>
        </w:rPr>
        <w:t xml:space="preserve">欧洲五月罕见热浪刷新多国纪录，联合国呼吁加快摆脱化石燃料</w:t>
      </w:r>
    </w:p>
    <w:p>
      <w:pPr>
        <w:pStyle w:val="FirstParagraph"/>
      </w:pPr>
      <w:r>
        <w:rPr>
          <w:rFonts w:hint="eastAsia"/>
        </w:rPr>
        <w:t xml:space="preserve">伦敦邱园（Kew</w:t>
      </w:r>
      <w:r>
        <w:t xml:space="preserve"> </w:t>
      </w:r>
      <w:r>
        <w:rPr>
          <w:rFonts w:hint="eastAsia"/>
        </w:rPr>
        <w:t xml:space="preserve">Gardens）5月28日记录到35.1°C的气温，超过英国五月此前的纪录32.8°C（1922年）。同一周，从5月25日至31日，法国与英国双双宣布了“史上最热的五月某日”；西班牙巴达霍斯（Badajoz）在测站71年的历史上首次出现38°C的5月气温，马德里预报36°C、塞维利亚38°C，列伊达与萨拉戈萨地区高至39°C。北部康塔布连地区的桑坦德机场，在5月31日前已累计录得6天高于30°C的天气，而历史上同期的均值仅为2天。法国境内已有两人在户外运动中因热致死，分别发生在巴黎与里昂。</w:t>
      </w:r>
    </w:p>
    <w:p>
      <w:pPr>
        <w:pStyle w:val="BodyText"/>
      </w:pPr>
      <w:r>
        <w:rPr>
          <w:rFonts w:hint="eastAsia"/>
        </w:rPr>
        <w:t xml:space="preserve">气象学层面，这次热浪的异常性体现在“幅度”，而非局部。整片受热区的气温普遍比长期气候均值偏高12°C至16°C，巴黎单点偏高约14°C。气候归因研究指出，6月级别的欧洲热浪在当前气候状态下出现的概率，已是工业化前条件下的“约十倍”。帝国理工学院（Imperial</w:t>
      </w:r>
      <w:r>
        <w:t xml:space="preserve"> College </w:t>
      </w:r>
      <w:r>
        <w:rPr>
          <w:rFonts w:hint="eastAsia"/>
        </w:rPr>
        <w:t xml:space="preserve">London）的气候科学家奥托（Friederike</w:t>
      </w:r>
      <w:r>
        <w:t xml:space="preserve"> </w:t>
      </w:r>
      <w:r>
        <w:rPr>
          <w:rFonts w:hint="eastAsia"/>
        </w:rPr>
        <w:t xml:space="preserve">Otto）评价：“这样级别的温度过去即便在盛夏也属罕见。在英国春天看到35°C，绝对令人震惊。”</w:t>
      </w:r>
    </w:p>
    <w:p>
      <w:pPr>
        <w:pStyle w:val="BodyText"/>
      </w:pPr>
      <w:r>
        <w:rPr>
          <w:rFonts w:hint="eastAsia"/>
        </w:rPr>
        <w:t xml:space="preserve">联合国《气候变化框架公约》执行秘书斯蒂尔（Simon</w:t>
      </w:r>
      <w:r>
        <w:t xml:space="preserve"> </w:t>
      </w:r>
      <w:r>
        <w:rPr>
          <w:rFonts w:hint="eastAsia"/>
        </w:rPr>
        <w:t xml:space="preserve">Stiell）借势把议题推向能源结构。他在公开声明中说：“这场由气候驱动的热浪是一记残酷的提醒——同时，中东的最新战事正在揭示依赖化石燃料进口的飙升成本。要保护人命、企业与经济免受极端高温冲击⋯⋯起点是更快摆脱化石燃料这一上瘾症。”</w:t>
      </w:r>
    </w:p>
    <w:p>
      <w:pPr>
        <w:pStyle w:val="BodyText"/>
      </w:pPr>
      <w:r>
        <w:rPr>
          <w:rFonts w:hint="eastAsia"/>
        </w:rPr>
        <w:t xml:space="preserve">把斯蒂尔的发言放进欧盟自身的能源转型曲线，更能看清落差。2025年，欧盟的风电和太阳能发电量首次超过化石燃料，合计占电力供应的30%；仅太阳能一项就在2026年3月通过减少天然气进口为欧洲节省了约30亿欧元。但与极端高温所要求的减排节奏相比，这种进展仍被多家智库视为“远远不够”——本周欧洲多地的气温曲线，与排放路径上的距离，几乎是两条没有交点的线。</w:t>
      </w:r>
    </w:p>
    <w:p>
      <w:pPr>
        <w:pStyle w:val="BodyText"/>
      </w:pPr>
      <w:r>
        <w:rPr>
          <w:b/>
          <w:bCs/>
        </w:rPr>
        <w:t xml:space="preserve">References</w:t>
      </w:r>
    </w:p>
    <w:p>
      <w:pPr>
        <w:pStyle w:val="BodyText"/>
      </w:pPr>
      <w:r>
        <w:t xml:space="preserve">[15] Gilliver, L. (2026, May 28).</w:t>
      </w:r>
      <w:r>
        <w:t xml:space="preserve"> </w:t>
      </w:r>
      <w:r>
        <w:t xml:space="preserve">“A brutal reminder of climate change”</w:t>
      </w:r>
      <w:r>
        <w:t xml:space="preserve">: Europe’s May heatwave sparks UN calls to shift to clean energy. Euronews. https://www.euronews.com/2026/05/28/a-brutal-reminder-of-climate-change-europes-may-heatwave-sparks-un-calls-to-shift-to-clean</w:t>
      </w:r>
      <w:r>
        <w:t xml:space="preserve"> </w:t>
      </w:r>
      <w:r>
        <w:t xml:space="preserve">[16] Euronews. (2026, May 28). Heat dome turns May into August in Spain as temperatures near 40C. Euronews. https://www.euronews.com/2026/05/28/heat-dome-turns-may-into-august-in-spain-as-temperatures-near-40c</w:t>
      </w:r>
    </w:p>
    <w:p>
      <w:r>
        <w:pict>
          <v:rect style="width:0;height:1.5pt" o:hralign="center" o:hrstd="t" o:hr="t"/>
        </w:pict>
      </w:r>
    </w:p>
    <w:bookmarkEnd w:id="17"/>
    <w:bookmarkStart w:id="18" w:name="希腊新药可及性陷债务危机后遗症五种新药仅一种能进医保"/>
    <w:p>
      <w:pPr>
        <w:pStyle w:val="Heading3"/>
      </w:pPr>
      <w:r>
        <w:rPr>
          <w:rFonts w:hint="eastAsia"/>
        </w:rPr>
        <w:t xml:space="preserve">希腊新药可及性陷“债务危机后遗症”，五种新药仅一种能进医保</w:t>
      </w:r>
    </w:p>
    <w:p>
      <w:pPr>
        <w:pStyle w:val="FirstParagraph"/>
      </w:pPr>
      <w:r>
        <w:rPr>
          <w:rFonts w:hint="eastAsia"/>
        </w:rPr>
        <w:t xml:space="preserve">在欧洲药品管理局（EMA）2021年至2024年批准的168种新药中，仅有36种在希腊获得全额医保报销——意味着每五种通过EMA审批的新药，只有一种能真正抵达希腊患者手中。希腊的总体可及率为41%，略低于欧盟45%的平均水平，但从审批到报销的等待时间，差距才是触目惊心的：希腊的平均等待时长为641天，约21个月，而德国为158天、意大利为441天，欧盟整体均值为597天。在EU层面，只有28%的新疗法能通过国家医保体系完全覆盖到患者。</w:t>
      </w:r>
    </w:p>
    <w:p>
      <w:pPr>
        <w:pStyle w:val="BodyText"/>
      </w:pPr>
      <w:r>
        <w:rPr>
          <w:rFonts w:hint="eastAsia"/>
        </w:rPr>
        <w:t xml:space="preserve">希腊制药行业协会（SFEE）的研究还估算，约62%的新药“很可能根本不会在希腊上市”，较此前的49%进一步抬升。SFEE总干事希莫纳斯（Michalis</w:t>
      </w:r>
      <w:r>
        <w:t xml:space="preserve"> </w:t>
      </w:r>
      <w:r>
        <w:rPr>
          <w:rFonts w:hint="eastAsia"/>
        </w:rPr>
        <w:t xml:space="preserve">Cheimonas）把症结追溯到一段并不久远的历史：“我们是当年备忘录的受害者。那时我们削减了公共支出，今天我们正在为此付出代价。”</w:t>
      </w:r>
    </w:p>
    <w:p>
      <w:pPr>
        <w:pStyle w:val="BodyText"/>
      </w:pPr>
      <w:r>
        <w:rPr>
          <w:rFonts w:hint="eastAsia"/>
        </w:rPr>
        <w:t xml:space="preserve">希莫纳斯所指的“备忘录”，是希腊2010年至2018年三轮国际救助的总称。从2010年5月起，欧盟委员会、欧洲央行与国际货币基金组织——所谓的“三驾马车”——以约1100亿欧元起步的贷款换取希腊政府接受严厉的财政紧缩、结构性改革与国有资产私有化方案，重点之一便是削减卫生支出与药品报销范围。学术研究曾观察到，希腊全国死亡率在2000—2010年间上升约5.6%，而在紧缩措施全面实施的2010—2016年间累计跳升约17.7%。希腊的新药采购体系也在这一时期被压缩——预算上限、强制返点（rebates）、漫长的定价谈判流程被层层加码，今天的641天等待，正是当年财政紧缩在制度层面的延时效应。</w:t>
      </w:r>
    </w:p>
    <w:p>
      <w:pPr>
        <w:pStyle w:val="BodyText"/>
      </w:pPr>
      <w:r>
        <w:rPr>
          <w:rFonts w:hint="eastAsia"/>
        </w:rPr>
        <w:t xml:space="preserve">把希腊的数据与西欧均值并置，就能看出一个更具普遍性的问题：欧盟正在用统一的药品审批制度（EMA），叠加在差距悬殊的国家医保支付制度之上。新药越贵、越创新，可及性的国别落差就越大——这是希腊故事的核心，也是欧盟下一轮医药法案改革绕不开的政治选择。</w:t>
      </w:r>
    </w:p>
    <w:p>
      <w:pPr>
        <w:pStyle w:val="BodyText"/>
      </w:pPr>
      <w:r>
        <w:rPr>
          <w:b/>
          <w:bCs/>
        </w:rPr>
        <w:t xml:space="preserve">References</w:t>
      </w:r>
    </w:p>
    <w:p>
      <w:pPr>
        <w:pStyle w:val="BodyText"/>
      </w:pPr>
      <w:r>
        <w:t xml:space="preserve">[17] Touchtidou, S. (2026, May 28). Greece: Only one in five new medicines reaches patients, the legacy of the bailouts. Euronews. https://www.euronews.com/health/2026/05/28/greece-only-one-in-five-new-medicines-reaches-patients-the-legacy-of-the-bailouts</w:t>
      </w:r>
      <w:r>
        <w:t xml:space="preserve"> </w:t>
      </w:r>
      <w:r>
        <w:t xml:space="preserve">[18] Bretton Woods Project. (2018, October 4). Greece exits loan programme as impacts of Troika-led austerity are revealed. Bretton Woods Project. https://www.brettonwoodsproject.org/2018/09/greece-exits-loan-programme-as-impacts-of-troika-led-austerity-are-revealed/</w:t>
      </w:r>
    </w:p>
    <w:p>
      <w:r>
        <w:pict>
          <v:rect style="width:0;height:1.5pt" o:hralign="center" o:hrstd="t" o:hr="t"/>
        </w:pict>
      </w:r>
    </w:p>
    <w:bookmarkEnd w:id="18"/>
    <w:bookmarkStart w:id="19" w:name="瑞士温特图尔火车站发生持刀袭击造成3人受伤"/>
    <w:p>
      <w:pPr>
        <w:pStyle w:val="Heading3"/>
      </w:pPr>
      <w:r>
        <w:rPr>
          <w:rFonts w:hint="eastAsia"/>
        </w:rPr>
        <w:t xml:space="preserve">瑞士温特图尔火车站发生持刀袭击，造成3人受伤</w:t>
      </w:r>
    </w:p>
    <w:p>
      <w:pPr>
        <w:pStyle w:val="FirstParagraph"/>
      </w:pPr>
      <w:r>
        <w:rPr>
          <w:rFonts w:hint="eastAsia"/>
        </w:rPr>
        <w:t xml:space="preserve">5月28日上午8时30分过后不久，瑞士北部温特图尔（Winterthur）火车站发生一起持刀袭击事件，一名31岁的瑞士籍男子刺伤3名路人，3名伤者年龄分别为28岁、43岁与52岁，均已送医接受治疗。瑞士小报《光报》（Blick）公布的现场视频显示，嫌疑人在逃离车站时疑似高呼“真主至大”（“Allahu</w:t>
      </w:r>
      <w:r>
        <w:t xml:space="preserve"> </w:t>
      </w:r>
      <w:r>
        <w:rPr>
          <w:rFonts w:hint="eastAsia"/>
        </w:rPr>
        <w:t xml:space="preserve">akbar”），随后被警方拘捕。</w:t>
      </w:r>
    </w:p>
    <w:p>
      <w:pPr>
        <w:pStyle w:val="BodyText"/>
      </w:pPr>
      <w:r>
        <w:rPr>
          <w:rFonts w:hint="eastAsia"/>
        </w:rPr>
        <w:t xml:space="preserve">瑞士警方目前尚未对袭击的具体动机给出最终定性，但视频中疑似宗教口号的细节，使案件被自动纳入欧洲近年的“独狼式”低门槛袭击谱系来审视——单兵作案、白刃武器、人员密集的交通枢纽，是过去几年从尼斯、伦敦桥到柏林、维也纳反复出现的模式。瑞士虽然不在申根法律层面的反恐协议核心圈，但联邦警察（fedpol）2024年以来已将“刀具袭击”列为公共空间风险评估中的常项。</w:t>
      </w:r>
    </w:p>
    <w:p>
      <w:pPr>
        <w:pStyle w:val="BodyText"/>
      </w:pPr>
      <w:r>
        <w:rPr>
          <w:rFonts w:hint="eastAsia"/>
        </w:rPr>
        <w:t xml:space="preserve">温特图尔位于瑞士北部，火车站是当地的关键交通枢纽。事件发生后，瑞士联邦铁路（SBB）一度关闭部分站台，警方对火车站及邻近街区实施封锁约两小时。由于嫌疑人当场被制服，警方未对外发布更广泛的恐怖警戒。后续的关键节点是：嫌疑人的精神状态评估、其社交媒体痕迹与潜在前科记录——这三项在过去类似案件中，往往是“动机定性”出现转折的入口。</w:t>
      </w:r>
    </w:p>
    <w:p>
      <w:pPr>
        <w:pStyle w:val="BodyText"/>
      </w:pPr>
      <w:r>
        <w:rPr>
          <w:b/>
          <w:bCs/>
        </w:rPr>
        <w:t xml:space="preserve">References</w:t>
      </w:r>
    </w:p>
    <w:p>
      <w:pPr>
        <w:pStyle w:val="BodyText"/>
      </w:pPr>
      <w:r>
        <w:t xml:space="preserve">[19] Euronews. (2026, May 28). Three people injured in stabbing at Swiss train station. Euronews. https://www.euronews.com/my-europe/2026/05/28/three-people-injured-in-stabbing-at-swiss-train-station</w:t>
      </w:r>
      <w:r>
        <w:t xml:space="preserve"> </w:t>
      </w:r>
      <w:r>
        <w:t xml:space="preserve">[20] The Washington Post. (2026, May 28). Switzerland: Winterthur station police operation after stabbing. The Washington Post. https://www.washingtonpost.com/world/2026/05/28/switzerland-winterthur-station-police-operation/479a4196-5a76-11f1-8a9d-afb1148204e1_story.html</w:t>
      </w:r>
    </w:p>
    <w:p>
      <w:r>
        <w:pict>
          <v:rect style="width:0;height:1.5pt" o:hralign="center" o:hrstd="t" o:hr="t"/>
        </w:pict>
      </w:r>
    </w:p>
    <w:bookmarkEnd w:id="19"/>
    <w:bookmarkEnd w:id="20"/>
    <w:bookmarkStart w:id="22" w:name="五企业ipo与并购"/>
    <w:p>
      <w:pPr>
        <w:pStyle w:val="Heading2"/>
      </w:pPr>
      <w:r>
        <w:rPr>
          <w:rFonts w:hint="eastAsia"/>
        </w:rPr>
        <w:t xml:space="preserve">五、企业IPO与并购</w:t>
      </w:r>
    </w:p>
    <w:bookmarkStart w:id="21" w:name="阿克苏诺贝尔拒绝立邦与宣伟125亿欧元联合收购坚持与axalta合并方案"/>
    <w:p>
      <w:pPr>
        <w:pStyle w:val="Heading3"/>
      </w:pPr>
      <w:r>
        <w:rPr>
          <w:rFonts w:hint="eastAsia"/>
        </w:rPr>
        <w:t xml:space="preserve">阿克苏诺贝尔拒绝立邦与宣伟125亿欧元联合收购，坚持与Axalta合并方案</w:t>
      </w:r>
    </w:p>
    <w:p>
      <w:pPr>
        <w:pStyle w:val="FirstParagraph"/>
      </w:pPr>
      <w:r>
        <w:rPr>
          <w:rFonts w:hint="eastAsia"/>
        </w:rPr>
        <w:t xml:space="preserve">荷兰涂料巨头阿克苏诺贝尔（AkzoNobel）5月28日宣布，已拒绝来自日本立邦（Nippon</w:t>
      </w:r>
      <w:r>
        <w:t xml:space="preserve"> </w:t>
      </w:r>
      <w:r>
        <w:rPr>
          <w:rFonts w:hint="eastAsia"/>
        </w:rPr>
        <w:t xml:space="preserve">Paint）与美国宣伟公司（Sherwin-Williams）的一项全现金联合收购要约，作价125亿欧元，折合每股73欧元。该报价较公司前一交易日52.52欧元的收盘价溢价约39%。消息公布后，阿克苏诺贝尔股价单日大涨约20%，触及约63欧元，是公司自2008年以来表现最强的单日走势之一。</w:t>
      </w:r>
    </w:p>
    <w:p>
      <w:pPr>
        <w:pStyle w:val="BodyText"/>
      </w:pPr>
      <w:r>
        <w:rPr>
          <w:rFonts w:hint="eastAsia"/>
        </w:rPr>
        <w:t xml:space="preserve">公司在声明中重申，将继续推进与美国涂料制造商Axalta的合并方案。该方案于2025年11月18日宣布，将以“对等合并”（merger</w:t>
      </w:r>
      <w:r>
        <w:t xml:space="preserve"> of </w:t>
      </w:r>
      <w:r>
        <w:rPr>
          <w:rFonts w:hint="eastAsia"/>
        </w:rPr>
        <w:t xml:space="preserve">equals）的全股票形式进行，合并后企业总价值约为250亿美元，预计在2026年末至2027年初完成、有待股东会批准。按既定股权安排，阿克苏诺贝尔股东将持有合并后实体55%的股份，Axalta股东持有45%；总部将采用阿姆斯特丹—费城双中心架构，董事会由Axalta主席萨奇德夫（Rakesh</w:t>
      </w:r>
      <w:r>
        <w:t xml:space="preserve"> </w:t>
      </w:r>
      <w:r>
        <w:rPr>
          <w:rFonts w:hint="eastAsia"/>
        </w:rPr>
        <w:t xml:space="preserve">Sachdev）出任主席，阿克苏诺贝尔现任首席执行官普—吉约姆（Greg</w:t>
      </w:r>
      <w:r>
        <w:t xml:space="preserve"> </w:t>
      </w:r>
      <w:r>
        <w:rPr>
          <w:rFonts w:hint="eastAsia"/>
        </w:rPr>
        <w:t xml:space="preserve">Poux-Guillaume）出任合并后实体的CEO。</w:t>
      </w:r>
    </w:p>
    <w:p>
      <w:pPr>
        <w:pStyle w:val="BodyText"/>
      </w:pPr>
      <w:r>
        <w:rPr>
          <w:rFonts w:hint="eastAsia"/>
        </w:rPr>
        <w:t xml:space="preserve">立邦与宣伟此次出手，是涂料行业整合周期的又一记重拳。立邦曾在2017年试图直接收购阿克苏诺贝尔，但被对方董事会以“低估公司价值、缺乏战略协同”为由当场回绝；那次失败之后，立邦转而走外延扩张路线，在亚太多次收购区域涂料品牌。本轮联合美国宣伟出价，被业界视为对Axalta方案的“截胡式回应”——若AkzoNobel—Axalta合并落地，全球涂料市场将出现一家年营收约170亿美元、净协同效应约6亿美元（合并三年内实现90%）的新巨头，对立邦与宣伟的市场份额将形成结构性压力。</w:t>
      </w:r>
    </w:p>
    <w:p>
      <w:pPr>
        <w:pStyle w:val="BodyText"/>
      </w:pPr>
      <w:r>
        <w:rPr>
          <w:rFonts w:hint="eastAsia"/>
        </w:rPr>
        <w:t xml:space="preserve">资本市场层面，39%的溢价与20%的股价跳涨之间的落差，本身就是一个表态：投资者对Axalta方案的协同前景给出与现金报价相当甚至更高的估值。下一步博弈点将是立邦—宣伟是否会上调报价、阿克苏诺贝尔大股东（包括安联资管等机构）的最终表态，以及反垄断审查机构对全球涂料市场前两大格局的并购态度。</w:t>
      </w:r>
    </w:p>
    <w:p>
      <w:pPr>
        <w:pStyle w:val="BodyText"/>
      </w:pPr>
      <w:r>
        <w:rPr>
          <w:b/>
          <w:bCs/>
        </w:rPr>
        <w:t xml:space="preserve">References</w:t>
      </w:r>
    </w:p>
    <w:p>
      <w:pPr>
        <w:pStyle w:val="BodyText"/>
      </w:pPr>
      <w:r>
        <w:t xml:space="preserve">[21] DutchNews.nl. (2026, May). AkzoNobel rejects €12.5 billion takeover, restates merger plan. DutchNews.nl. https://www.dutchnews.nl/2026/05/akzonobel-rejects-e12-5-billion-takeover-restates-merger-plan/</w:t>
      </w:r>
      <w:r>
        <w:t xml:space="preserve"> </w:t>
      </w:r>
      <w:r>
        <w:t xml:space="preserve">[22] Retail Gazette. (2026, May). Dulux owner AkzoNobel rejects £10.9bn takeover offer from Nippon Paint and Sherwin-Williams. Retail Gazette. https://www.retailgazette.co.uk/blog/2026/05/dulux-owner-akzonobel-rejects-10-9bn-takeover-offer-from-nippon-paint-and-sherwin-williams/</w:t>
      </w:r>
      <w:r>
        <w:t xml:space="preserve"> </w:t>
      </w:r>
      <w:r>
        <w:t xml:space="preserve">[23] Sharecast. (2026, May). AkzoNobel rejects €12.5bn offer from Nippon Paint, Sherwin-Williams. Sharecast. https://www.sharecast.com/news/international-companies/akzonobel-rejects-euro125bn-offer-from-nippon-paint-sherwin-williams–22557259.html</w:t>
      </w:r>
      <w:r>
        <w:t xml:space="preserve"> </w:t>
      </w:r>
      <w:r>
        <w:t xml:space="preserve">[24] AkzoNobel. (2025, November 18). AkzoNobel and Axalta to combine in all-stock merger of equals, creating a premier global coatings company. AkzoNobel. https://www.akzonobel.com/en/media/media-releases/akzonobel-and-axalta-to-combine-in-all-stock-merger-of-equals-creating-a-premier-global-coatings-company</w:t>
      </w:r>
    </w:p>
    <w:p>
      <w:r>
        <w:pict>
          <v:rect style="width:0;height:1.5pt" o:hralign="center" o:hrstd="t" o:hr="t"/>
        </w:pict>
      </w:r>
    </w:p>
    <w:bookmarkEnd w:id="21"/>
    <w:bookmarkEnd w:id="22"/>
    <w:bookmarkStart w:id="24" w:name="六其他重要事件"/>
    <w:p>
      <w:pPr>
        <w:pStyle w:val="Heading2"/>
      </w:pPr>
      <w:r>
        <w:rPr>
          <w:rFonts w:hint="eastAsia"/>
        </w:rPr>
        <w:t xml:space="preserve">六、其他重要事件</w:t>
      </w:r>
    </w:p>
    <w:bookmarkStart w:id="23" w:name="欧盟气候成绩单德法注定错过2030减排目标西班牙或反超"/>
    <w:p>
      <w:pPr>
        <w:pStyle w:val="Heading3"/>
      </w:pPr>
      <w:r>
        <w:rPr>
          <w:rFonts w:hint="eastAsia"/>
        </w:rPr>
        <w:t xml:space="preserve">欧盟气候成绩单：德、法注定错过2030减排目标，西班牙或反超</w:t>
      </w:r>
    </w:p>
    <w:p>
      <w:pPr>
        <w:pStyle w:val="FirstParagraph"/>
      </w:pPr>
      <w:r>
        <w:rPr>
          <w:rFonts w:hint="eastAsia"/>
        </w:rPr>
        <w:t xml:space="preserve">欧盟下属机构发布的最新成员国气候追踪报告显示，作为欧盟两大经济引擎的德国与法国，在“Fit</w:t>
      </w:r>
      <w:r>
        <w:t xml:space="preserve"> for </w:t>
      </w:r>
      <w:r>
        <w:rPr>
          <w:rFonts w:hint="eastAsia"/>
        </w:rPr>
        <w:t xml:space="preserve">55”框架下都注定无法按时完成2030年减排目标，而通常被视为“南欧拖后腿”代表的西班牙，反而有可能超额完成本国目标。该框架对欧盟整体设定的目标，是到2030年温室气体（GHG）排放较工业化前水平减少55%，到2040年净减排90%。</w:t>
      </w:r>
    </w:p>
    <w:p>
      <w:pPr>
        <w:pStyle w:val="BodyText"/>
      </w:pPr>
      <w:r>
        <w:rPr>
          <w:rFonts w:hint="eastAsia"/>
        </w:rPr>
        <w:t xml:space="preserve">德国的国家目标是2030年减排65%，但截至目前累计仅减排48%。德国“专家顾问理事会”（Council</w:t>
      </w:r>
      <w:r>
        <w:t xml:space="preserve"> of Expert </w:t>
      </w:r>
      <w:r>
        <w:rPr>
          <w:rFonts w:hint="eastAsia"/>
        </w:rPr>
        <w:t xml:space="preserve">Advisers）警告，按当前政策路径，德国可能出现约1亿吨二氧化碳的减排缺口。德国绿党领导人在本周激烈批评政府削弱可再生供热法律的举动，称之为“对德国气候目标的彻底放弃”。法国当前年减排速率为1.5%，而要实现其50%的2030目标，需要将这一速率提升至4.6%——意味着剩余四年里，法国必须把年度减排力度提高至当前的三倍。</w:t>
      </w:r>
    </w:p>
    <w:p>
      <w:pPr>
        <w:pStyle w:val="BodyText"/>
      </w:pPr>
      <w:r>
        <w:rPr>
          <w:rFonts w:hint="eastAsia"/>
        </w:rPr>
        <w:t xml:space="preserve">意大利的画面更复杂：可再生电力占比已达41%，但煤电退出计划被延后至2038年，比原本节奏晚了13年，使其43.7%的2030目标被独立评估列为“不太可能”。荷兰则被本国环境评估机构PBL（Netherlands</w:t>
      </w:r>
      <w:r>
        <w:t xml:space="preserve"> Environmental Assessment </w:t>
      </w:r>
      <w:r>
        <w:rPr>
          <w:rFonts w:hint="eastAsia"/>
        </w:rPr>
        <w:t xml:space="preserve">Agency）评为“极不可能”完成55%的目标。</w:t>
      </w:r>
    </w:p>
    <w:p>
      <w:pPr>
        <w:pStyle w:val="BodyText"/>
      </w:pPr>
      <w:r>
        <w:rPr>
          <w:rFonts w:hint="eastAsia"/>
        </w:rPr>
        <w:t xml:space="preserve">亮点反而出现在伊比利亚半岛。西班牙在现行政策延续的前提下，估计到2030年可实现41.4%的减排，高于其32%的国家目标；2025年，西班牙已有75%的电力来自清洁能源——相比之下，整个欧盟同年的风光发电量首次超过化石燃料，合计占比仅30%。气候智库“气候行动追踪”（Climate</w:t>
      </w:r>
      <w:r>
        <w:t xml:space="preserve"> Action </w:t>
      </w:r>
      <w:r>
        <w:rPr>
          <w:rFonts w:hint="eastAsia"/>
        </w:rPr>
        <w:t xml:space="preserve">Tracker）同时警告，欧盟2040年框架中纳入“国际碳信用”漏洞的设计，“是一次有风险的倒退”，可能让减排账面达标而实际排放不降。这份成绩单的政治含义直接：在能源价格高企、产业政策回潮的当下，欧盟的气候政治正从“南欧不及格”叙事转向“工业大国掉队”的新格局。</w:t>
      </w:r>
    </w:p>
    <w:p>
      <w:pPr>
        <w:pStyle w:val="BodyText"/>
      </w:pPr>
      <w:r>
        <w:rPr>
          <w:b/>
          <w:bCs/>
        </w:rPr>
        <w:t xml:space="preserve">References</w:t>
      </w:r>
    </w:p>
    <w:p>
      <w:pPr>
        <w:pStyle w:val="BodyText"/>
      </w:pPr>
      <w:r>
        <w:t xml:space="preserve">[25] Gilliver, L. (2026, May 28). EU powerhouses like Germany on track to miss 2030 emissions goal, while Spain may smash its target. Euronews. https://www.euronews.com/2026/05/28/eu-powerhouses-like-germany-on-track-to-miss-2030-emissions-goal-while-spain-may-smash-its</w:t>
      </w:r>
      <w:r>
        <w:t xml:space="preserve"> </w:t>
      </w:r>
      <w:r>
        <w:t xml:space="preserve">[26] Clean Energy Wire. (2024). Germany set for wider climate target miss than expected — climate council. Clean Energy Wire. https://www.cleanenergywire.org/news/germany-set-wider-climate-target-miss-expected-climate-council</w:t>
      </w:r>
      <w:r>
        <w:t xml:space="preserve"> </w:t>
      </w:r>
      <w:r>
        <w:t xml:space="preserve">[27] Enerdata. (2024). Spain’s updated NECP targets 81% of renewable power generation by 2030. Enerdata. https://www.enerdata.net/publications/daily-energy-news/spain-target-2030-power-renewable.html</w:t>
      </w:r>
    </w:p>
    <w:p>
      <w:r>
        <w:pict>
          <v:rect style="width:0;height:1.5pt" o:hralign="center" o:hrstd="t" o:hr="t"/>
        </w:pict>
      </w:r>
    </w:p>
    <w:p>
      <w:pPr>
        <w:pStyle w:val="FirstParagraph"/>
      </w:pPr>
      <w:r>
        <w:rPr>
          <w:rFonts w:hint="eastAsia"/>
          <w:i/>
          <w:iCs/>
        </w:rPr>
        <w:t xml:space="preserve">报告日期：2026年5月28日</w:t>
      </w:r>
      <w:r>
        <w:rPr>
          <w:i/>
          <w:iCs/>
        </w:rPr>
        <w:t xml:space="preserve"> · </w:t>
      </w:r>
      <w:r>
        <w:rPr>
          <w:rFonts w:hint="eastAsia"/>
          <w:i/>
          <w:iCs/>
        </w:rPr>
        <w:t xml:space="preserve">数据来源：欧洲央行、欧盟委员会、欧盟理事会、EEAS、Euronews、DutchNews、Bloomberg、Washington</w:t>
      </w:r>
      <w:r>
        <w:rPr>
          <w:i/>
          <w:iCs/>
        </w:rPr>
        <w:t xml:space="preserve"> </w:t>
      </w:r>
      <w:r>
        <w:rPr>
          <w:rFonts w:hint="eastAsia"/>
          <w:i/>
          <w:iCs/>
        </w:rPr>
        <w:t xml:space="preserve">Post等T1–T4级公开信源</w:t>
      </w:r>
      <w:r>
        <w:rPr>
          <w:i/>
          <w:iCs/>
        </w:rPr>
        <w:t xml:space="preserve"> · </w:t>
      </w:r>
      <w:r>
        <w:rPr>
          <w:rFonts w:hint="eastAsia"/>
          <w:i/>
          <w:iCs/>
        </w:rPr>
        <w:t xml:space="preserve">生成方法：/daily-news-intelligence</w:t>
      </w:r>
      <w:r>
        <w:rPr>
          <w:i/>
          <w:iCs/>
        </w:rPr>
        <w:t xml:space="preserve"> </w:t>
      </w:r>
      <w:r>
        <w:rPr>
          <w:rFonts w:hint="eastAsia"/>
          <w:i/>
          <w:iCs/>
        </w:rPr>
        <w:t xml:space="preserve">三阶段管线（Scanner</w:t>
      </w:r>
      <w:r>
        <w:rPr>
          <w:i/>
          <w:iCs/>
        </w:rPr>
        <w:t xml:space="preserve"> → Verifier → </w:t>
      </w:r>
      <w:r>
        <w:rPr>
          <w:rFonts w:hint="eastAsia"/>
          <w:i/>
          <w:iCs/>
        </w:rPr>
        <w:t xml:space="preserve">Writer）+</w:t>
      </w:r>
      <w:r>
        <w:rPr>
          <w:i/>
          <w:iCs/>
        </w:rPr>
        <w:t xml:space="preserve"> </w:t>
      </w:r>
      <w:r>
        <w:rPr>
          <w:rFonts w:hint="eastAsia"/>
          <w:i/>
          <w:iCs/>
        </w:rPr>
        <w:t xml:space="preserve">背景检索增强。</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2026-05-28T12:42:54Z</dcterms:created>
  <dcterms:modified xsi:type="dcterms:W3CDTF">2026-05-28T12:42:54Z</dcterms:modified>
</cp:coreProperties>
</file>

<file path=docProps/custom.xml><?xml version="1.0" encoding="utf-8"?>
<Properties xmlns="http://schemas.openxmlformats.org/officeDocument/2006/custom-properties" xmlns:vt="http://schemas.openxmlformats.org/officeDocument/2006/docPropsVTypes"/>
</file>