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957a998eae1dae42c92d82ebd35ae7b500e62d"/>
    <w:p>
      <w:pPr>
        <w:pStyle w:val="Heading1"/>
      </w:pPr>
      <w:r>
        <w:t xml:space="preserve">Japan Daily News Intelligence — June 23, 2026</w:t>
      </w:r>
    </w:p>
    <w:bookmarkStart w:id="12" w:name="economy-markets"/>
    <w:p>
      <w:pPr>
        <w:pStyle w:val="Heading2"/>
      </w:pPr>
      <w:r>
        <w:t xml:space="preserve">1. Economy &amp; Markets</w:t>
      </w:r>
    </w:p>
    <w:bookmarkStart w:id="9" w:name="X3adb9d5e89f5220ef777241b98121ba7ddebf35"/>
    <w:p>
      <w:pPr>
        <w:pStyle w:val="Heading3"/>
      </w:pPr>
      <w:r>
        <w:t xml:space="preserve">Nikkei 225 tumbles about 4% as the AI and chip rally violently reverses</w:t>
      </w:r>
    </w:p>
    <w:p>
      <w:pPr>
        <w:pStyle w:val="FirstParagraph"/>
      </w:pPr>
      <w:r>
        <w:t xml:space="preserve">The Nikkei 225 fell roughly 4% on June 23, dropping back below 70,000 in its sharpest reversal since the current AI-driven rally began. The broader Topix shed 2.6% to 3,990. Just one session earlier, on June 22, the Nikkei had set a fresh all-time high near 72,000 after a string of record closes — meaning the index gave back almost a full week of gains in 24 hours.</w:t>
      </w:r>
    </w:p>
    <w:p>
      <w:pPr>
        <w:pStyle w:val="BodyText"/>
      </w:pPr>
      <w:r>
        <w:t xml:space="preserve">The hardest hit were exactly the AI and semiconductor names that had led the climb. SoftBank Group, the heaviest single weight, slumped roughly 9% to 10%; memory-chip maker Kioxia plunged around 13% to 15%, chip-equipment leader Tokyo Electron lost about 7%, and Ibiden fell sharply. The trigger came from abroad: a disappointing outlook from Broadcom soured sentiment toward AI spending, and a stronger-than-expected U.S. jobs report compounded the mood, setting off a tech-heavy selloff that swept across Asia.</w:t>
      </w:r>
    </w:p>
    <w:p>
      <w:pPr>
        <w:pStyle w:val="BodyText"/>
      </w:pPr>
      <w:r>
        <w:t xml:space="preserve">The slide exposed a structural fragility in Tokyo’s market: this year’s gains of more than 30% are heavily concentrated in a handful of AI leaders, leaving the index acutely sensitive to swings in global AI sentiment and the semiconductor cycle. Analysts had already warned that prices lifted by AI enthusiasm had become stretched and more prone to volatility. With bellwethers like SoftBank correcting together and too little sector rotation to cushion the blow, the whole market lurched. For investors who had grown used to</w:t>
      </w:r>
      <w:r>
        <w:t xml:space="preserve"> </w:t>
      </w:r>
      <w:r>
        <w:t xml:space="preserve">“buy the dip, make a new high,”</w:t>
      </w:r>
      <w:r>
        <w:t xml:space="preserve"> </w:t>
      </w:r>
      <w:r>
        <w:t xml:space="preserve">June 23 was a reminder that a bull run built on a single theme can pull back just as fast and just as deep.</w:t>
      </w:r>
    </w:p>
    <w:p>
      <w:pPr>
        <w:pStyle w:val="BodyText"/>
      </w:pPr>
      <w:r>
        <w:rPr>
          <w:b/>
          <w:bCs/>
        </w:rPr>
        <w:t xml:space="preserve">References</w:t>
      </w:r>
    </w:p>
    <w:p>
      <w:pPr>
        <w:pStyle w:val="BodyText"/>
      </w:pPr>
      <w:r>
        <w:t xml:space="preserve">[1] Trading Economics. (2026, June 23). Japan Stock Market Index (JP225). Trading Economics. https://tradingeconomics.com/japan/stock-market</w:t>
      </w:r>
      <w:r>
        <w:t xml:space="preserve"> </w:t>
      </w:r>
      <w:r>
        <w:t xml:space="preserve">[2] MarketScreener. (2026, June 23). Stocks in South Korea, Japan fall amid tech-heavy selloff. MarketScreener. https://www.marketscreener.com/news/stocks-in-south-korea-japan-fall-amid-tech-heavy-selloff-ce7f5fdadb8bf524</w:t>
      </w:r>
    </w:p>
    <w:p>
      <w:r>
        <w:pict>
          <v:rect style="width:0;height:1.5pt" o:hralign="center" o:hrstd="t" o:hr="t"/>
        </w:pict>
      </w:r>
    </w:p>
    <w:bookmarkEnd w:id="9"/>
    <w:bookmarkStart w:id="10" w:name="X22ec9e53501868eb7db1f00df83d581edfb5238"/>
    <w:p>
      <w:pPr>
        <w:pStyle w:val="Heading3"/>
      </w:pPr>
      <w:r>
        <w:t xml:space="preserve">Yen slides past 161 toward a near-40-year low as the finance minister warns on intervention</w:t>
      </w:r>
    </w:p>
    <w:p>
      <w:pPr>
        <w:pStyle w:val="FirstParagraph"/>
      </w:pPr>
      <w:r>
        <w:t xml:space="preserve">The yen kept weakening, with the dollar pushing past 161 and toward 161.5 in June — its softest level since 1986 — reviving bets that Tokyo could intervene again. Finance Minister Satsuki Katayama had repeatedly signalled that the authorities</w:t>
      </w:r>
      <w:r>
        <w:t xml:space="preserve"> </w:t>
      </w:r>
      <w:r>
        <w:t xml:space="preserve">“stand ready to take appropriate measures against excessive currency moves at any time,”</w:t>
      </w:r>
      <w:r>
        <w:t xml:space="preserve"> </w:t>
      </w:r>
      <w:r>
        <w:t xml:space="preserve">adding that the government and the Bank of Japan</w:t>
      </w:r>
      <w:r>
        <w:t xml:space="preserve"> </w:t>
      </w:r>
      <w:r>
        <w:t xml:space="preserve">“would not hesitate to intervene to prop up the currency.”</w:t>
      </w:r>
      <w:r>
        <w:t xml:space="preserve"> </w:t>
      </w:r>
      <w:r>
        <w:t xml:space="preserve">Yet the yen has surrendered every gain made by the record April 30 intervention, leaving it weaker now than before that massive operation was launched.</w:t>
      </w:r>
    </w:p>
    <w:p>
      <w:pPr>
        <w:pStyle w:val="BodyText"/>
      </w:pPr>
      <w:r>
        <w:t xml:space="preserve">What makes the weakness striking is that it persists even as the central bank tightens. The BOJ raised its policy rate to 1.0% on June 16, the highest setting since 1995, and the yen fell anyway. The root cause remains the rate gap: the wide gulf between U.S. and Japanese rates keeps the carry trade profitable — traders borrow cheap yen to buy higher-yielding dollar assets — and a single Japanese hike cannot offset that one-way selling pressure. That is why verbal warnings alone have failed to halt the slide, and why Katayama keeps hinting that real intervention is back on the table.</w:t>
      </w:r>
    </w:p>
    <w:p>
      <w:pPr>
        <w:pStyle w:val="BodyText"/>
      </w:pPr>
      <w:r>
        <w:rPr>
          <w:b/>
          <w:bCs/>
        </w:rPr>
        <w:t xml:space="preserve">References</w:t>
      </w:r>
    </w:p>
    <w:p>
      <w:pPr>
        <w:pStyle w:val="BodyText"/>
      </w:pPr>
      <w:r>
        <w:t xml:space="preserve">[3] CNBC. (2026, June 19). Japan’s yen slides past 161 per dollar, reviving intervention risk. CNBC. https://www.cnbc.com/2026/06/19/japan-yen-161-dollar-intervention-risk-currency-markets.html</w:t>
      </w:r>
    </w:p>
    <w:p>
      <w:r>
        <w:pict>
          <v:rect style="width:0;height:1.5pt" o:hralign="center" o:hrstd="t" o:hr="t"/>
        </w:pict>
      </w:r>
    </w:p>
    <w:bookmarkEnd w:id="10"/>
    <w:bookmarkStart w:id="11" w:name="X3adc0b9e4bbdf3910d61f72deaca2e4f07d3bdb"/>
    <w:p>
      <w:pPr>
        <w:pStyle w:val="Heading3"/>
      </w:pPr>
      <w:r>
        <w:t xml:space="preserve">May trade deficit narrows sharply as chip exports surge 61%, underscoring an AI export dividend</w:t>
      </w:r>
    </w:p>
    <w:p>
      <w:pPr>
        <w:pStyle w:val="FirstParagraph"/>
      </w:pPr>
      <w:r>
        <w:t xml:space="preserve">Japan’s May trade deficit narrowed sharply to 378.7 billion yen, far below the 662.5 billion yen of a year earlier and better than the 564.6 billion yen the market expected. Strong exports drove the improvement: shipments rose 17% year on year to 9.51 trillion yen, the strongest single month since November 2022. Semiconductor exports jumped 61.2% and auto exports climbed about 19%, showing how the global AI build-out is translating into tangible export gains for Japan.</w:t>
      </w:r>
    </w:p>
    <w:p>
      <w:pPr>
        <w:pStyle w:val="BodyText"/>
      </w:pPr>
      <w:r>
        <w:t xml:space="preserve">The exchange rate is the other thread running through the data. The yen averaged about 158.29 in May, roughly 10% weaker year on year; a soft currency inflates yen-denominated export values while suppressing imports — import volume fell 7% on the month. That</w:t>
      </w:r>
      <w:r>
        <w:t xml:space="preserve"> </w:t>
      </w:r>
      <w:r>
        <w:t xml:space="preserve">“weak yen, strong exports”</w:t>
      </w:r>
      <w:r>
        <w:t xml:space="preserve"> </w:t>
      </w:r>
      <w:r>
        <w:t xml:space="preserve">combination lifts the trade account and corporate overseas earnings on one side, while on the other it stokes domestic inflation by raising the cost of imported energy and raw materials — echoing the same theme behind the yen breaking 161 and the Nikkei’s wild swings: Japan’s economy is absorbing AI-driven prosperity and weak-currency import pressure at the same time.</w:t>
      </w:r>
    </w:p>
    <w:p>
      <w:pPr>
        <w:pStyle w:val="BodyText"/>
      </w:pPr>
      <w:r>
        <w:rPr>
          <w:b/>
          <w:bCs/>
        </w:rPr>
        <w:t xml:space="preserve">References</w:t>
      </w:r>
    </w:p>
    <w:p>
      <w:pPr>
        <w:pStyle w:val="BodyText"/>
      </w:pPr>
      <w:r>
        <w:t xml:space="preserve">[4] The Japan Times. (2026, June 17). Japan’s May trade deficit narrows as exports jump. The Japan Times. https://www.japantimes.co.jp/business/2026/06/17/economy/may-trade-balance/</w:t>
      </w:r>
      <w:r>
        <w:t xml:space="preserve"> </w:t>
      </w:r>
      <w:r>
        <w:t xml:space="preserve">[5] Trading Economics. (2026, June). Japan Balance of Trade. Trading Economics. https://tradingeconomics.com/japan/balance-of-trade</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e3d0e3d9fb75632e443133a3c3a867e6ef224c0"/>
    <w:p>
      <w:pPr>
        <w:pStyle w:val="Heading3"/>
      </w:pPr>
      <w:r>
        <w:t xml:space="preserve">Takaichi’s cabinet approval falls to 55.8%, the lowest since she took office</w:t>
      </w:r>
    </w:p>
    <w:p>
      <w:pPr>
        <w:pStyle w:val="FirstParagraph"/>
      </w:pPr>
      <w:r>
        <w:t xml:space="preserve">Prime Minister Sanae Takaichi’s cabinet approval rating slipped to 55.8% in the latest Kyodo News poll, down 5.5 points from May and the lowest since she took office in October 2025. It is the first clear erosion of public support for her government, driven by the economic fallout from the Middle East conflict and a heated debate over whether to send the Self-Defense Forces to the Strait of Hormuz.</w:t>
      </w:r>
    </w:p>
    <w:p>
      <w:pPr>
        <w:pStyle w:val="BodyText"/>
      </w:pPr>
      <w:r>
        <w:t xml:space="preserve">The poll laid bare Takaichi’s dilemma. On dispatching the SDF to help secure safe passage through the Strait of Hormuz, 54.7% of respondents saw no need to send forces while only 36.6% were in favor — a sign of deep public wariness about entanglement in the Middle East. The survey was taken after the United States and Iran reached a preliminary peace deal under which Tehran agreed to reopen the strait. Economic questions were just as thorny: 43.9% wanted the consumption tax cut to 1% faster, 22.6% favored zeroing it out, and 29% opposed cutting the food tax. Notably, 72.3% supported letting female imperial family members keep their status after marrying commoners, signalling a more open public stance on imperial reform.</w:t>
      </w:r>
    </w:p>
    <w:p>
      <w:pPr>
        <w:pStyle w:val="BodyText"/>
      </w:pPr>
      <w:r>
        <w:t xml:space="preserve">The slide weakens Takaichi’s political capital just as she pushes a sweeping revision of national-security documents and a conservative policy agenda — and a softer base of public support will make those plans harder to advance.</w:t>
      </w:r>
    </w:p>
    <w:p>
      <w:pPr>
        <w:pStyle w:val="BodyText"/>
      </w:pPr>
      <w:r>
        <w:rPr>
          <w:b/>
          <w:bCs/>
        </w:rPr>
        <w:t xml:space="preserve">References</w:t>
      </w:r>
    </w:p>
    <w:p>
      <w:pPr>
        <w:pStyle w:val="BodyText"/>
      </w:pPr>
      <w:r>
        <w:t xml:space="preserve">[6] Kyodo News. (2026, June 22). Japan PM Takaichi’s cabinet support rate dips to 55.8%, lowest since launch. Japan Today. https://japantoday.com/category/politics/update1-japan-pm-takaichi’s-cabinet-support-rate-dips-to-55.8-lowest-since-launch</w:t>
      </w:r>
      <w:r>
        <w:t xml:space="preserve"> </w:t>
      </w:r>
      <w:r>
        <w:t xml:space="preserve">[7] Kyodo News. (2026, June 21). Japan PM Takaichi’s Cabinet support rate dips to 55.8%, lowest since she took office. The Star. https://www.thestar.com.my/aseanplus/aseanplus-news/2026/06/21/japan-pm-takaichis-cabinet-support-rate-dips-to-558-lowest-since-she-took-office</w:t>
      </w:r>
    </w:p>
    <w:p>
      <w:r>
        <w:pict>
          <v:rect style="width:0;height:1.5pt" o:hralign="center" o:hrstd="t" o:hr="t"/>
        </w:pict>
      </w:r>
    </w:p>
    <w:bookmarkEnd w:id="13"/>
    <w:bookmarkStart w:id="14" w:name="Xac0e2b6294c0f19cc10dfb3509bbbcedd14244b"/>
    <w:p>
      <w:pPr>
        <w:pStyle w:val="Heading3"/>
      </w:pPr>
      <w:r>
        <w:t xml:space="preserve">Takaichi keeps an SDF Hormuz deployment open, saying it</w:t>
      </w:r>
      <w:r>
        <w:t xml:space="preserve"> </w:t>
      </w:r>
      <w:r>
        <w:t xml:space="preserve">“depends on the US-Iran deal”</w:t>
      </w:r>
    </w:p>
    <w:p>
      <w:pPr>
        <w:pStyle w:val="FirstParagraph"/>
      </w:pPr>
      <w:r>
        <w:t xml:space="preserve">At the closing news conference of the G7 summit near Évian, France, Takaichi said</w:t>
      </w:r>
      <w:r>
        <w:t xml:space="preserve"> </w:t>
      </w:r>
      <w:r>
        <w:t xml:space="preserve">“nothing has been decided at this point”</w:t>
      </w:r>
      <w:r>
        <w:t xml:space="preserve"> </w:t>
      </w:r>
      <w:r>
        <w:t xml:space="preserve">on whether to send the Self-Defense Forces to the Strait of Hormuz. Any dispatch, she stressed, would depend on how a US-Iran ceasefire agreement is implemented, and the deployment of minesweepers remains</w:t>
      </w:r>
      <w:r>
        <w:t xml:space="preserve"> </w:t>
      </w:r>
      <w:r>
        <w:t xml:space="preserve">“under examination.”</w:t>
      </w:r>
      <w:r>
        <w:t xml:space="preserve"> </w:t>
      </w:r>
      <w:r>
        <w:t xml:space="preserve">Japanese media report that Tokyo has set three preconditions for any such mission.</w:t>
      </w:r>
    </w:p>
    <w:p>
      <w:pPr>
        <w:pStyle w:val="BodyText"/>
      </w:pPr>
      <w:r>
        <w:t xml:space="preserve">The stance places Japan between energy security and alliance pressure. The Strait of Hormuz is a chokepoint for global oil shipments and is vital to a country that imports nearly all of its energy; if the waterway were disrupted by US-Iran conflict, Japan’s supply would be among the first hit. Yet sending forces carries the political risk of being drawn into a Middle East military operation — the very reason for strong domestic opposition. Takaichi’s deliberate ambiguity preserves room to maneuver as the situation evolves: she is unwilling to commit to a deployment that could anger the public, but also unwilling to rule one out and weaken coordination with Washington. This unresolved security question bears directly on oil prices and on Takaichi’s own political standing.</w:t>
      </w:r>
    </w:p>
    <w:p>
      <w:pPr>
        <w:pStyle w:val="BodyText"/>
      </w:pPr>
      <w:r>
        <w:rPr>
          <w:b/>
          <w:bCs/>
        </w:rPr>
        <w:t xml:space="preserve">References</w:t>
      </w:r>
    </w:p>
    <w:p>
      <w:pPr>
        <w:pStyle w:val="BodyText"/>
      </w:pPr>
      <w:r>
        <w:t xml:space="preserve">[8] United Press International. (2026, June 18). Japan to consider Self-Defense Force deployment to Strait of Hormuz. UPI. https://www.upi.com/Top_News/World-News/2026/06/18/japan-consider-self-defense-force-deployment/4911781818879/</w:t>
      </w:r>
    </w:p>
    <w:p>
      <w:r>
        <w:pict>
          <v:rect style="width:0;height:1.5pt" o:hralign="center" o:hrstd="t" o:hr="t"/>
        </w:pict>
      </w:r>
    </w:p>
    <w:bookmarkEnd w:id="14"/>
    <w:bookmarkStart w:id="15" w:name="X284dd6b471e44da3d0af29de6ef152d147c383e"/>
    <w:p>
      <w:pPr>
        <w:pStyle w:val="Heading3"/>
      </w:pPr>
      <w:r>
        <w:t xml:space="preserve">Takaichi’s G7 debut centers on economic security and critical-mineral supply chains</w:t>
      </w:r>
    </w:p>
    <w:p>
      <w:pPr>
        <w:pStyle w:val="FirstParagraph"/>
      </w:pPr>
      <w:r>
        <w:t xml:space="preserve">Attending a G7 leaders’ summit as prime minister for the first time, in Évian, France, Takaichi put economic security at the heart of her agenda, winning the group’s backing for critical-mineral supply-chain resilience and pressing Indo-Pacific security themes. The summit issued joint statements on Ukraine, the Middle East, critical minerals and global economic imbalances — sketching the diplomatic posture of her government, which uses economic security as a lever to bind supply chains tightly to geostrategy.</w:t>
      </w:r>
    </w:p>
    <w:p>
      <w:pPr>
        <w:pStyle w:val="BodyText"/>
      </w:pPr>
      <w:r>
        <w:t xml:space="preserve">Critical minerals are a priority for Takaichi precisely because the China-Japan relationship remains in a deep freeze. Ties plunged after her remarks last November about possible military involvement in a Taiwan contingency, prompting Beijing to restrict exports to Japan of rare earths and other dual-use items. Japan’s 2026 Diplomatic Bluebook quietly downgraded its language on China from</w:t>
      </w:r>
      <w:r>
        <w:t xml:space="preserve"> </w:t>
      </w:r>
      <w:r>
        <w:t xml:space="preserve">“one of our most important partners”</w:t>
      </w:r>
      <w:r>
        <w:t xml:space="preserve"> </w:t>
      </w:r>
      <w:r>
        <w:t xml:space="preserve">to</w:t>
      </w:r>
      <w:r>
        <w:t xml:space="preserve"> </w:t>
      </w:r>
      <w:r>
        <w:t xml:space="preserve">“an important neighbor”</w:t>
      </w:r>
      <w:r>
        <w:t xml:space="preserve"> </w:t>
      </w:r>
      <w:r>
        <w:t xml:space="preserve">— a subtle shift that reflects deepening strategic mistrust. Against that backdrop, using the G7 platform to enlist allies in building diversified critical-mineral supply chains is at once an economic project and an extension of geopolitical rivalry.</w:t>
      </w:r>
    </w:p>
    <w:p>
      <w:pPr>
        <w:pStyle w:val="BodyText"/>
      </w:pPr>
      <w:r>
        <w:rPr>
          <w:b/>
          <w:bCs/>
        </w:rPr>
        <w:t xml:space="preserve">References</w:t>
      </w:r>
    </w:p>
    <w:p>
      <w:pPr>
        <w:pStyle w:val="BodyText"/>
      </w:pPr>
      <w:r>
        <w:t xml:space="preserve">[9] The Japan Times. (2026, June 18). Takaichi’s G7 debut puts economic security in focus. The Japan Times. https://www.japantimes.co.jp/news/2026/06/18/japan/politics/takaichi-g7-japan-focus/</w:t>
      </w:r>
      <w:r>
        <w:t xml:space="preserve"> </w:t>
      </w:r>
      <w:r>
        <w:t xml:space="preserve">[10] The Diplomat. (2026, June). Can a Takaichi government stabilize China-Japan relations? The Diplomat. https://thediplomat.com/2026/06/can-a-takaichi-government-stabilize-china-japan-relations/</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fa31a674963c90aaa33ecdc9878244fae66dbbd"/>
    <w:p>
      <w:pPr>
        <w:pStyle w:val="Heading3"/>
      </w:pPr>
      <w:r>
        <w:t xml:space="preserve">SoftBank leads the rout yet remains Japan’s most valuable firm, with the AI bet driving the market narrative</w:t>
      </w:r>
    </w:p>
    <w:p>
      <w:pPr>
        <w:pStyle w:val="FirstParagraph"/>
      </w:pPr>
      <w:r>
        <w:t xml:space="preserve">In the June 23 selloff, SoftBank Group led the Nikkei 225 lower with a single-day drop of roughly 9% to 10%, the eye of the storm in this AI-sector correction. Yet it was SoftBank — on the strength of its large OpenAI stake — that briefly overtook Toyota in early June to become Japan’s most valuable company. The onetime telecom-and-investment group has effectively become the general proxy for Japan’s AI story, and its violent swings are therefore amplified into a barometer for the whole Tokyo market.</w:t>
      </w:r>
    </w:p>
    <w:p>
      <w:pPr>
        <w:pStyle w:val="BodyText"/>
      </w:pPr>
      <w:r>
        <w:t xml:space="preserve">SoftBank’s dual identity captures the current logic of Japanese equities: global capital treats Japan as the most direct bet in this AI spending cycle, and SoftBank is the concentrated vehicle for that view. Reports that the company is preparing to spin off and list its AI-robotics business have further reinforced the</w:t>
      </w:r>
      <w:r>
        <w:t xml:space="preserve"> </w:t>
      </w:r>
      <w:r>
        <w:t xml:space="preserve">“AI equals valuation”</w:t>
      </w:r>
      <w:r>
        <w:t xml:space="preserve"> </w:t>
      </w:r>
      <w:r>
        <w:t xml:space="preserve">expectation. The flip side is fragility — when a single heavyweight carries the OpenAI theme, AI compute and robotics all at once, any cooling of sentiment in one corner gets magnified. SoftBank’s double-digit drop on June 23 and the Nikkei’s broad pullback are cause and effect, a real-world illustration of that concentration risk.</w:t>
      </w:r>
    </w:p>
    <w:p>
      <w:pPr>
        <w:pStyle w:val="BodyText"/>
      </w:pPr>
      <w:r>
        <w:rPr>
          <w:b/>
          <w:bCs/>
        </w:rPr>
        <w:t xml:space="preserve">References</w:t>
      </w:r>
    </w:p>
    <w:p>
      <w:pPr>
        <w:pStyle w:val="BodyText"/>
      </w:pPr>
      <w:r>
        <w:t xml:space="preserve">[11] Trading Economics. (2026, June 23). Japan Stock Market Index (JP225) — SoftBank Group movers. Trading Economics. https://tradingeconomics.com/japan/stock-market</w:t>
      </w:r>
    </w:p>
    <w:p>
      <w:r>
        <w:pict>
          <v:rect style="width:0;height:1.5pt" o:hralign="center" o:hrstd="t" o:hr="t"/>
        </w:pict>
      </w:r>
    </w:p>
    <w:bookmarkEnd w:id="17"/>
    <w:bookmarkStart w:id="18" w:name="X57c246d51d8003592905c622bbc37000b4689c0"/>
    <w:p>
      <w:pPr>
        <w:pStyle w:val="Heading3"/>
      </w:pPr>
      <w:r>
        <w:t xml:space="preserve">Rapidus completes a 150-billion-yen state injection, eyeing 2nm production by 2027 and chip MOUs with the UK and Italy</w:t>
      </w:r>
    </w:p>
    <w:p>
      <w:pPr>
        <w:pStyle w:val="FirstParagraph"/>
      </w:pPr>
      <w:r>
        <w:t xml:space="preserve">Rapidus, Japan’s national advanced-chip champion, said it had completed a fresh 150-billion-yen (about $943 million) government funding round from the Information-technology Promotion Agency (IPA). That brings cumulative state support to roughly 424.95 billion yen, as the company targets full-scale 2-nanometer logic production by 2027 — another heavy bet by Tokyo on domestic advanced-semiconductor sovereignty.</w:t>
      </w:r>
    </w:p>
    <w:p>
      <w:pPr>
        <w:pStyle w:val="BodyText"/>
      </w:pPr>
      <w:r>
        <w:t xml:space="preserve">More strategically significant is the widening of international cooperation. Rapidus is reported to have briefed Prime Minister Takaichi on a plan to exchange memoranda of understanding with the UK Semiconductor Centre and Italy’s Fondazione Chips-IT. That dovetails with the Takaichi government’s push at the G7 for critical minerals and supply-chain resilience: as the geopolitical landscape is reshaped and technology controls on China tighten, Japan is trying to rebuild an advanced-process supply chain free of single-source dependence through intensive state capital and horizontal alliances with like-minded partners. Whether Rapidus can clear the formidable 2nm hurdle on schedule in 2027 will be the decisive test of this national gamble.</w:t>
      </w:r>
    </w:p>
    <w:p>
      <w:pPr>
        <w:pStyle w:val="BodyText"/>
      </w:pPr>
      <w:r>
        <w:rPr>
          <w:b/>
          <w:bCs/>
        </w:rPr>
        <w:t xml:space="preserve">References</w:t>
      </w:r>
    </w:p>
    <w:p>
      <w:pPr>
        <w:pStyle w:val="BodyText"/>
      </w:pPr>
      <w:r>
        <w:t xml:space="preserve">[12] PR Newswire. (2026, June 5). Rapidus completes 150 billion yen funding round from Japan government. PR Newswire. https://www.prnewswire.com/news-releases/rapidus-completes-150-billion-yen-funding-round-from-japan-government-302791892.html</w:t>
      </w:r>
    </w:p>
    <w:p>
      <w:r>
        <w:pict>
          <v:rect style="width:0;height:1.5pt" o:hralign="center" o:hrstd="t" o:hr="t"/>
        </w:pict>
      </w:r>
    </w:p>
    <w:bookmarkEnd w:id="18"/>
    <w:bookmarkStart w:id="19" w:name="X3398ea0789e5950b15ddd7fd6e78148cecb6e4b"/>
    <w:p>
      <w:pPr>
        <w:pStyle w:val="Heading3"/>
      </w:pPr>
      <w:r>
        <w:t xml:space="preserve">Japan launches a data-center decarbonization program, steering AI compute toward clean-energy hubs</w:t>
      </w:r>
    </w:p>
    <w:p>
      <w:pPr>
        <w:pStyle w:val="FirstParagraph"/>
      </w:pPr>
      <w:r>
        <w:t xml:space="preserve">Facing surging power demand from the AI boom, Japan rolled out a data-center emissions-reduction program in June, taking a phased approach to steer compute infrastructure toward low-carbon energy hubs. The core idea is to prioritize, over the next two to three years, building data centers near existing grid and energy infrastructure, and to designate</w:t>
      </w:r>
      <w:r>
        <w:t xml:space="preserve"> </w:t>
      </w:r>
      <w:r>
        <w:t xml:space="preserve">“welcome zones”</w:t>
      </w:r>
      <w:r>
        <w:t xml:space="preserve"> </w:t>
      </w:r>
      <w:r>
        <w:t xml:space="preserve">that guide new facilities toward offshore-wind and nuclear hubs, cutting the carbon footprint of compute expansion at the source.</w:t>
      </w:r>
    </w:p>
    <w:p>
      <w:pPr>
        <w:pStyle w:val="BodyText"/>
      </w:pPr>
      <w:r>
        <w:t xml:space="preserve">The policy binds Japan’s AI boom to its energy transition and nuclear-restart strategy. As a complement, Unit 6 of the Kashiwazaki-Kariwa nuclear plant (1,356 MW of capacity) restarted on February 9, 2026, supporting clean-power supply; Japan’s target is for nuclear to provide 20% to 22% of electricity by 2030. Power is becoming the key bottleneck constraining sustainable expansion of the AI industry — as hyperscalers like Microsoft and Amazon Web Services pile on compute investment in Japan, the ability to supply stable, low-carbon and abundant electricity has become the decisive variable in whether Japan can capture this AI dividend.</w:t>
      </w:r>
    </w:p>
    <w:p>
      <w:pPr>
        <w:pStyle w:val="BodyText"/>
      </w:pPr>
      <w:r>
        <w:rPr>
          <w:b/>
          <w:bCs/>
        </w:rPr>
        <w:t xml:space="preserve">References</w:t>
      </w:r>
    </w:p>
    <w:p>
      <w:pPr>
        <w:pStyle w:val="BodyText"/>
      </w:pPr>
      <w:r>
        <w:t xml:space="preserve">[13] Eco-Business. (2026, June). Japan launches programme to cut data centre emissions as AI power demand surges. Eco-Business. https://www.eco-business.com/news/japan-launches-programme-to-cut-data-centre-emissions-as-ai-power-demand-surges/</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0b217055fa53979d65beb3dba79b15f946530a2"/>
    <w:p>
      <w:pPr>
        <w:pStyle w:val="Heading3"/>
      </w:pPr>
      <w:r>
        <w:t xml:space="preserve">Foreign-resident population hits a record 3.9 million as immigration tightening advances in parallel</w:t>
      </w:r>
    </w:p>
    <w:p>
      <w:pPr>
        <w:pStyle w:val="FirstParagraph"/>
      </w:pPr>
      <w:r>
        <w:t xml:space="preserve">Against a backdrop of severe labor shortages, Japan’s foreign-resident population has climbed to a record of about 3.9 million, underscoring this aging society’s deepening reliance on foreign workers. At the same time, the Takaichi government is advancing an</w:t>
      </w:r>
      <w:r>
        <w:t xml:space="preserve"> </w:t>
      </w:r>
      <w:r>
        <w:t xml:space="preserve">“orderly coexistence”</w:t>
      </w:r>
      <w:r>
        <w:t xml:space="preserve"> </w:t>
      </w:r>
      <w:r>
        <w:t xml:space="preserve">immigration-management framework — a policy package adopted on January 23, 2026 that marks Japan’s delicate balance between opening its doors and tightening control.</w:t>
      </w:r>
    </w:p>
    <w:p>
      <w:pPr>
        <w:pStyle w:val="BodyText"/>
      </w:pPr>
      <w:r>
        <w:t xml:space="preserve">The new policy pushes on both access and thresholds. On one hand, the Specified Skilled Worker (SSW) system plans to admit up to 805,700 workers from fiscal 2026 (renewable for three years), with up to 426,200 trainees also under consideration — an unprecedented scale. On the other, the bar is rising: from April 13, 2026, new SSW Type 1 intake in food service was largely halted; from April 15, some applicants for engineer and specialist visas must demonstrate Japanese ability at roughly CEFR B2. Scrutiny has also tightened for applicants with legal violations, unpaid taxes or unpaid medical bills, with permanent residency potentially subject to revocation. This dual track — expanding intake while strengthening screening — is the core tension of immigration policy in the Takaichi era.</w:t>
      </w:r>
    </w:p>
    <w:p>
      <w:pPr>
        <w:pStyle w:val="BodyText"/>
      </w:pPr>
      <w:r>
        <w:rPr>
          <w:b/>
          <w:bCs/>
        </w:rPr>
        <w:t xml:space="preserve">References</w:t>
      </w:r>
    </w:p>
    <w:p>
      <w:pPr>
        <w:pStyle w:val="BodyText"/>
      </w:pPr>
      <w:r>
        <w:t xml:space="preserve">[14] Newsweek. (2026). Japan announces plans for immigration change. Newsweek. https://www.newsweek.com/japan-announces-plans-for-immigration-change-11261854</w:t>
      </w:r>
      <w:r>
        <w:t xml:space="preserve"> </w:t>
      </w:r>
      <w:r>
        <w:t xml:space="preserve">[15] The Japan Times. (2026, April 9). Immigration control data. The Japan Times. https://www.japantimes.co.jp/news/2026/04/09/japan/society/immigration-control-data/</w:t>
      </w:r>
    </w:p>
    <w:p>
      <w:r>
        <w:pict>
          <v:rect style="width:0;height:1.5pt" o:hralign="center" o:hrstd="t" o:hr="t"/>
        </w:pict>
      </w:r>
    </w:p>
    <w:bookmarkEnd w:id="21"/>
    <w:bookmarkStart w:id="22" w:name="Xb13fc20e477e8656f56e7dc57bbb23bad42ac44"/>
    <w:p>
      <w:pPr>
        <w:pStyle w:val="Heading3"/>
      </w:pPr>
      <w:r>
        <w:t xml:space="preserve">2025 births fall to a record-low 671,236 as the fertility rate slips to 1.14</w:t>
      </w:r>
    </w:p>
    <w:p>
      <w:pPr>
        <w:pStyle w:val="FirstParagraph"/>
      </w:pPr>
      <w:r>
        <w:t xml:space="preserve">Japan recorded 671,236 births in 2025, down 14,937 (a 2.2% decline) and the lowest since records began in 1899 — the tenth straight year of record lows. The total fertility rate (TFR) fell to 1.14, the lowest since 1947. Most alarming, that level arrived roughly 15 years ahead of the projection by the National Institute of Population and Social Security Research (IPSS), which had placed the breach of the 670,000 mark in 2040.</w:t>
      </w:r>
    </w:p>
    <w:p>
      <w:pPr>
        <w:pStyle w:val="BodyText"/>
      </w:pPr>
      <w:r>
        <w:t xml:space="preserve">The acceleration of the birth decline is weaving together with the issues above — reliance on foreign labor, minimum-wage increases, ballooning social-security spending — into a tightening web of demographic strain. The collapse in births means a further shrinking of the future labor supply, which in turn reinforces the real-world need for immigration; rapid aging, meanwhile, keeps pushing up medical and elder-care costs. For the Takaichi government, balancing fiscal sustainability, public acceptance of immigration and pro-natal policy is no longer a distant concern but a pressing and immediate one.</w:t>
      </w:r>
    </w:p>
    <w:p>
      <w:pPr>
        <w:pStyle w:val="BodyText"/>
      </w:pPr>
      <w:r>
        <w:rPr>
          <w:b/>
          <w:bCs/>
        </w:rPr>
        <w:t xml:space="preserve">References</w:t>
      </w:r>
    </w:p>
    <w:p>
      <w:pPr>
        <w:pStyle w:val="BodyText"/>
      </w:pPr>
      <w:r>
        <w:t xml:space="preserve">[16] Nippon.com. (2026, June 3). Japan’s 2025 births fall to record low of 671,236. Nippon.com. https://www.nippon.com/en/japan-data/h02717/</w:t>
      </w:r>
    </w:p>
    <w:p>
      <w:r>
        <w:pict>
          <v:rect style="width:0;height:1.5pt" o:hralign="center" o:hrstd="t" o:hr="t"/>
        </w:pict>
      </w:r>
    </w:p>
    <w:bookmarkEnd w:id="22"/>
    <w:bookmarkStart w:id="23" w:name="X1b444628a0afe0704d301314bac55331b6d1184"/>
    <w:p>
      <w:pPr>
        <w:pStyle w:val="Heading3"/>
      </w:pPr>
      <w:r>
        <w:t xml:space="preserve">Central minimum-wage council opens deliberations in June, aiming for a 1,500-yen target</w:t>
      </w:r>
    </w:p>
    <w:p>
      <w:pPr>
        <w:pStyle w:val="FirstParagraph"/>
      </w:pPr>
      <w:r>
        <w:t xml:space="preserve">Japan’s Central Minimum Wage Council formally opened substantive deliberations for fiscal 2026 in June. An advisory body under the Ministry of Health, Labour and Welfare (MHLW), the council each summer recommends a target increase, after which local councils in the 47 prefectures set their specific rates. This year’s deliberations carry extra weight because they bear directly on whether the</w:t>
      </w:r>
      <w:r>
        <w:t xml:space="preserve"> </w:t>
      </w:r>
      <w:r>
        <w:t xml:space="preserve">“wages rise, prices rise”</w:t>
      </w:r>
      <w:r>
        <w:t xml:space="preserve"> </w:t>
      </w:r>
      <w:r>
        <w:t xml:space="preserve">virtuous cycle can be sustained.</w:t>
      </w:r>
    </w:p>
    <w:p>
      <w:pPr>
        <w:pStyle w:val="BodyText"/>
      </w:pPr>
      <w:r>
        <w:t xml:space="preserve">The numbers themselves are striking. The weighted national average minimum wage for fiscal 2025-2026 stands at 1,121 yen per hour, up 66 yen from the prior year — the largest single-year absolute increase since records began in 1978. The government’s mid-term goal is more ambitious still: to lift the weighted national average to 1,500 yen per hour sometime during the 2020s. Amid rising inflation, labor shortages and improving corporate profits, these deliberations are not only a livelihood issue but also closely tied to the Bank of Japan’s path of monetary normalization: only sustained, steady wage growth can provide the fundamental support for Japan to escape long-term deflation and underpin durable, moderate inflation.</w:t>
      </w:r>
    </w:p>
    <w:p>
      <w:pPr>
        <w:pStyle w:val="BodyText"/>
      </w:pPr>
      <w:r>
        <w:rPr>
          <w:b/>
          <w:bCs/>
        </w:rPr>
        <w:t xml:space="preserve">References</w:t>
      </w:r>
    </w:p>
    <w:p>
      <w:pPr>
        <w:pStyle w:val="BodyText"/>
      </w:pPr>
      <w:r>
        <w:t xml:space="preserve">[17] WhereWeWork. (2026). Minimum wage in Japan 2026: Historic increases and the regional divide. WhereWeWork. https://www.wherewework.com/jp/en/news-articles/minimum-wage-in-japan-2026-historic-increases-and-the-regional-divide-36</w:t>
      </w:r>
    </w:p>
    <w:p>
      <w:r>
        <w:pict>
          <v:rect style="width:0;height:1.5pt" o:hralign="center" o:hrstd="t" o:hr="t"/>
        </w:pict>
      </w:r>
    </w:p>
    <w:bookmarkEnd w:id="23"/>
    <w:bookmarkEnd w:id="24"/>
    <w:bookmarkStart w:id="28" w:name="corporate-ipo-ma"/>
    <w:p>
      <w:pPr>
        <w:pStyle w:val="Heading2"/>
      </w:pPr>
      <w:r>
        <w:t xml:space="preserve">5. Corporate IPO &amp; M&amp;A</w:t>
      </w:r>
    </w:p>
    <w:bookmarkStart w:id="25" w:name="Xa2a0e37f0349ced15986a8b83fa3df21fbd7821"/>
    <w:p>
      <w:pPr>
        <w:pStyle w:val="Heading3"/>
      </w:pPr>
      <w:r>
        <w:t xml:space="preserve">Japan’s largest taxi app GO lists on the TSE, raising 88.6 billion yen in 2026’s biggest Japanese IPO</w:t>
      </w:r>
    </w:p>
    <w:p>
      <w:pPr>
        <w:pStyle w:val="FirstParagraph"/>
      </w:pPr>
      <w:r>
        <w:t xml:space="preserve">GO Inc., the operator of Japan’s largest taxi-hailing app, listed on the Tokyo Stock Exchange, raising 88.6 billion yen (about $553 million to $580 million) in the biggest Japanese IPO of 2026. The offering was priced at 2,400 yen per share, the top of the 2,350-2,400 yen range, was 25 times oversubscribed, and gave the company a market value of about 186 billion yen. The stock surged as much as 21% on debut and closed near 2,910 yen, with roughly 70% of the offering allocated to international investors. BlackRock, Wellington Management and M&amp;G served as cornerstone investors, and the deal was backed by Goldman Sachs.</w:t>
      </w:r>
    </w:p>
    <w:p>
      <w:pPr>
        <w:pStyle w:val="BodyText"/>
      </w:pPr>
      <w:r>
        <w:t xml:space="preserve">GO’s listing matters not only because it stood out in a thin IPO year (just 17 offerings, the fewest since 2011) but because it precisely targets the red-hot robotaxi theme. GO controls roughly 70% of Japan’s app-based taxi-booking market and plans to invest 8 billion yen (about $50 million) in robotaxi expansion and acquisition-led consolidation; Waymo’s Tokyo bookings will also be routed through GO’s app. With Japan facing a severe shortage of taxi drivers due to an aging population, GO has packaged autonomous mobility as the solution, winning intense global appetite for Japanese tech stocks and the self-driving theme.</w:t>
      </w:r>
    </w:p>
    <w:p>
      <w:pPr>
        <w:pStyle w:val="BodyText"/>
      </w:pPr>
      <w:r>
        <w:rPr>
          <w:b/>
          <w:bCs/>
        </w:rPr>
        <w:t xml:space="preserve">References</w:t>
      </w:r>
    </w:p>
    <w:p>
      <w:pPr>
        <w:pStyle w:val="BodyText"/>
      </w:pPr>
      <w:r>
        <w:t xml:space="preserve">[18] TechCrunch. (2026, June 19). GO eyes robotaxis and acquisitions after Japan’s biggest IPO of 2026. TechCrunch. https://techcrunch.com/2026/06/19/go-eyes-robotaxis-and-acquisitions-after-japans-biggest-ipo-of-2026-heres-why-it-matters/</w:t>
      </w:r>
      <w:r>
        <w:t xml:space="preserve"> </w:t>
      </w:r>
      <w:r>
        <w:t xml:space="preserve">[19] TechBuzz.ai. (2026, June 19). GO raises $580M in Japan’s biggest 2026 IPO, targets robotaxis. TechBuzz.ai. https://www.techbuzz.ai/articles/go-raises-580m-in-japan-s-biggest-2026-ipo-targets-robotaxis</w:t>
      </w:r>
    </w:p>
    <w:p>
      <w:r>
        <w:pict>
          <v:rect style="width:0;height:1.5pt" o:hralign="center" o:hrstd="t" o:hr="t"/>
        </w:pict>
      </w:r>
    </w:p>
    <w:bookmarkEnd w:id="25"/>
    <w:bookmarkStart w:id="26" w:name="X096abbf1f98c77cc2f829064db158f33f32b8ca"/>
    <w:p>
      <w:pPr>
        <w:pStyle w:val="Heading3"/>
      </w:pPr>
      <w:r>
        <w:t xml:space="preserve">DENSO weighs an ~$8.3 billion acquisition of chipmaker ROHM as a semiconductor-consolidation wave reshapes the supply chain</w:t>
      </w:r>
    </w:p>
    <w:p>
      <w:pPr>
        <w:pStyle w:val="FirstParagraph"/>
      </w:pPr>
      <w:r>
        <w:t xml:space="preserve">Toyota-affiliated parts giant DENSO has reportedly offered to acquire semiconductor maker ROHM in a deal worth about $8.3 billion — well above the $500 million materiality floor for M&amp;A and aimed squarely at strategic automotive semiconductors. For DENSO, bringing a mature power- and analog-chip maker in-house means locking in critical chip self-sufficiency amid the electrification and intelligence wave in autos; with geopolitical risk and supply-chain uncertainty rising, the strategic logic of vertical integration is unmistakable.</w:t>
      </w:r>
    </w:p>
    <w:p>
      <w:pPr>
        <w:pStyle w:val="BodyText"/>
      </w:pPr>
      <w:r>
        <w:t xml:space="preserve">The deal is just one snapshot of Japan’s M&amp;A boom. Over the same period, Apollo-affiliated funds are seeking to take Nippon Sheet Glass private for about $3.7 billion, while KKR is advancing a take-private of Taiyo Holdings. Japan’s M&amp;A value reached $41.7 billion in the first quarter of 2026, while full-year 2025 set a 20-year record of roughly $180 billion, up 93% year on year. Private-equity- and activist-driven take-private deals are becoming the main theme reshaping Japan’s corporate map — while regulators’ growing caution toward transactions deemed national-security risks adds a hidden thread of scrutiny to the dealmaking feast.</w:t>
      </w:r>
    </w:p>
    <w:p>
      <w:pPr>
        <w:pStyle w:val="BodyText"/>
      </w:pPr>
      <w:r>
        <w:rPr>
          <w:b/>
          <w:bCs/>
        </w:rPr>
        <w:t xml:space="preserve">References</w:t>
      </w:r>
    </w:p>
    <w:p>
      <w:pPr>
        <w:pStyle w:val="BodyText"/>
      </w:pPr>
      <w:r>
        <w:t xml:space="preserve">[20] J.P. Morgan. (2026). Japan’s mergers and acquisitions rebound. J.P. Morgan. https://www.jpmorgan.com/insights/banking/mergers-and-acquisitions/japan-mergers-and-acquisitions-rebound</w:t>
      </w:r>
      <w:r>
        <w:t xml:space="preserve"> </w:t>
      </w:r>
      <w:r>
        <w:t xml:space="preserve">[21] Nikkei Asia. (2026). Will Japan’s M&amp;A boom continue in 2026? Five trends to watch. Nikkei Asia. https://asia.nikkei.com/business/business-deals/will-japan-s-m-a-boom-continue-in-2026-5-trends-to-watch</w:t>
      </w:r>
    </w:p>
    <w:p>
      <w:r>
        <w:pict>
          <v:rect style="width:0;height:1.5pt" o:hralign="center" o:hrstd="t" o:hr="t"/>
        </w:pict>
      </w:r>
    </w:p>
    <w:bookmarkEnd w:id="26"/>
    <w:bookmarkStart w:id="27" w:name="Xcc4e78298ab6af3a5cae317f956a247ecf7cdd1"/>
    <w:p>
      <w:pPr>
        <w:pStyle w:val="Heading3"/>
      </w:pPr>
      <w:r>
        <w:t xml:space="preserve">Private equity and activists drive a take-private wave as Japan’s M&amp;A boom extends into 2026</w:t>
      </w:r>
    </w:p>
    <w:p>
      <w:pPr>
        <w:pStyle w:val="FirstParagraph"/>
      </w:pPr>
      <w:r>
        <w:t xml:space="preserve">Extending its record momentum from 2025, Japan’s M&amp;A market kept charging ahead in 2026, with first-quarter deal value reaching $41.7 billion on a structural shift driven by both private equity and activist investors. Take-private deals — exemplified by Apollo’s roughly $3.7 billion bid for Nippon Sheet Glass and KKR’s privatization of Taiyo Holdings — have become a defining feature of this wave, as large numbers of undervalued, governance-improvable Japanese listed companies become targets for global capital.</w:t>
      </w:r>
    </w:p>
    <w:p>
      <w:pPr>
        <w:pStyle w:val="BodyText"/>
      </w:pPr>
      <w:r>
        <w:t xml:space="preserve">The deeper engine behind the wave is the ongoing push on corporate-governance reform and the Tokyo Stock Exchange’s forceful prodding to</w:t>
      </w:r>
      <w:r>
        <w:t xml:space="preserve"> </w:t>
      </w:r>
      <w:r>
        <w:t xml:space="preserve">“improve capital efficiency.”</w:t>
      </w:r>
      <w:r>
        <w:t xml:space="preserve"> </w:t>
      </w:r>
      <w:r>
        <w:t xml:space="preserve">Activist funds press at shareholder meetings, demanding companies divest non-core assets or restructure off the market, while private-equity giants step in to take them private. At the same time, regulators have signalled they may strengthen scrutiny of transactions seen as national-security risks — in strategic fields such as semiconductors and critical materials, that review threshold is becoming ever clearer. The coexistence of an M&amp;A boom and security review is one of the most notable tensions in Japan’s capital markets in 2026.</w:t>
      </w:r>
    </w:p>
    <w:p>
      <w:pPr>
        <w:pStyle w:val="BodyText"/>
      </w:pPr>
      <w:r>
        <w:rPr>
          <w:b/>
          <w:bCs/>
        </w:rPr>
        <w:t xml:space="preserve">References</w:t>
      </w:r>
    </w:p>
    <w:p>
      <w:pPr>
        <w:pStyle w:val="BodyText"/>
      </w:pPr>
      <w:r>
        <w:t xml:space="preserve">[22] Nikkei Asia. (2026). Will Japan’s M&amp;A boom continue in 2026? Five trends to watch. Nikkei Asia. https://asia.nikkei.com/business/business-deals/will-japan-s-m-a-boom-continue-in-2026-5-trends-to-watch</w:t>
      </w:r>
    </w:p>
    <w:p>
      <w:r>
        <w:pict>
          <v:rect style="width:0;height:1.5pt" o:hralign="center" o:hrstd="t" o:hr="t"/>
        </w:pict>
      </w:r>
    </w:p>
    <w:bookmarkEnd w:id="27"/>
    <w:bookmarkEnd w:id="28"/>
    <w:bookmarkStart w:id="32" w:name="other-notable-events"/>
    <w:p>
      <w:pPr>
        <w:pStyle w:val="Heading2"/>
      </w:pPr>
      <w:r>
        <w:t xml:space="preserve">6. Other Notable Events</w:t>
      </w:r>
    </w:p>
    <w:bookmarkStart w:id="29" w:name="X7bce543480bf0eba62db1c4388c5a4512a0a556"/>
    <w:p>
      <w:pPr>
        <w:pStyle w:val="Heading3"/>
      </w:pPr>
      <w:r>
        <w:t xml:space="preserve">Typhoon No. 7</w:t>
      </w:r>
      <w:r>
        <w:t xml:space="preserve"> </w:t>
      </w:r>
      <w:r>
        <w:t xml:space="preserve">“Mekkhala”</w:t>
      </w:r>
      <w:r>
        <w:t xml:space="preserve"> </w:t>
      </w:r>
      <w:r>
        <w:t xml:space="preserve">intensifies and may approach Okinawa June 27-28; first heatstroke alerts of the summer issued</w:t>
      </w:r>
    </w:p>
    <w:p>
      <w:pPr>
        <w:pStyle w:val="FirstParagraph"/>
      </w:pPr>
      <w:r>
        <w:t xml:space="preserve">The powerful Typhoon No. 7,</w:t>
      </w:r>
      <w:r>
        <w:t xml:space="preserve"> </w:t>
      </w:r>
      <w:r>
        <w:t xml:space="preserve">“Mekkhala,”</w:t>
      </w:r>
      <w:r>
        <w:t xml:space="preserve"> </w:t>
      </w:r>
      <w:r>
        <w:t xml:space="preserve">is intensifying in the waters east of the Philippines. As of midday June 23, its central pressure had dropped to 925 hectopascals, with maximum sustained winds of 50 meters per second and gusts up to 70 meters per second. The storm’s track is shifting from northward to northeastward, and it is expected to approach Okinawa around June 27-28 before possibly moving toward the Pacific side of western or eastern Japan, though considerable uncertainty remains over its final trajectory.</w:t>
      </w:r>
    </w:p>
    <w:p>
      <w:pPr>
        <w:pStyle w:val="BodyText"/>
      </w:pPr>
      <w:r>
        <w:t xml:space="preserve">The more immediate threat is rain. The typhoon’s warm, moist air is activating the rainy-season front, potentially bringing heavy rainfall to western and eastern Japan — especially the Pacific side of Kyushu and Shikoku — even before the storm’s main body arrives. Combined with the heat, the Environment Ministry and the Japan Meteorological Agency issued heatstroke alerts on June 23 for the Ogasawara Islands of Tokyo and parts of Okinawa Prefecture, with the Ogasawara Islands marking their first heatstroke alert of 2026. A compound weather-disaster risk — heat, heavy rain and typhoon stacked together — is brewing in southern Japan.</w:t>
      </w:r>
    </w:p>
    <w:p>
      <w:pPr>
        <w:pStyle w:val="BodyText"/>
      </w:pPr>
      <w:r>
        <w:rPr>
          <w:b/>
          <w:bCs/>
        </w:rPr>
        <w:t xml:space="preserve">References</w:t>
      </w:r>
    </w:p>
    <w:p>
      <w:pPr>
        <w:pStyle w:val="BodyText"/>
      </w:pPr>
      <w:r>
        <w:t xml:space="preserve">[23] News On Japan. (2026, June 23). Typhoon No. 7 (Mekkhala) intensifies, may approach Okinawa June 27-28. News On Japan. https://newsonjapan.com/article/149729.php</w:t>
      </w:r>
    </w:p>
    <w:p>
      <w:r>
        <w:pict>
          <v:rect style="width:0;height:1.5pt" o:hralign="center" o:hrstd="t" o:hr="t"/>
        </w:pict>
      </w:r>
    </w:p>
    <w:bookmarkEnd w:id="29"/>
    <w:bookmarkStart w:id="30" w:name="X01ac89ef00b51bc40a642477851a7007e197de0"/>
    <w:p>
      <w:pPr>
        <w:pStyle w:val="Heading3"/>
      </w:pPr>
      <w:r>
        <w:t xml:space="preserve">World Cup: Japan thrash Tunisia 4-0 and close in on the knockout round, facing Sweden in Dallas on the 25th</w:t>
      </w:r>
    </w:p>
    <w:p>
      <w:pPr>
        <w:pStyle w:val="FirstParagraph"/>
      </w:pPr>
      <w:r>
        <w:t xml:space="preserve">At the 2026 World Cup, Japan’s</w:t>
      </w:r>
      <w:r>
        <w:t xml:space="preserve"> </w:t>
      </w:r>
      <w:r>
        <w:t xml:space="preserve">“Samurai Blue”</w:t>
      </w:r>
      <w:r>
        <w:t xml:space="preserve"> </w:t>
      </w:r>
      <w:r>
        <w:t xml:space="preserve">thrashed Tunisia 4-0, setting a team record for goals in a single World Cup match. Forward Ayase Ueda scored twice and added an assist, while Daichi Kamada and Junya Itō each found the net. The result eliminated Tunisia and, on the strength of a commanding performance, pushed Japan close to the knockout stage — currently trailing only the Netherlands on goals scored in Group F.</w:t>
      </w:r>
    </w:p>
    <w:p>
      <w:pPr>
        <w:pStyle w:val="BodyText"/>
      </w:pPr>
      <w:r>
        <w:t xml:space="preserve">The emphatic win made the World Cup one of the focal points of domestic conversation on June 23, with the team’s momentum toward the knockout round igniting national enthusiasm. Japan’s next decisive test comes on Thursday, June 25, against Sweden in Dallas — a tough match that could directly settle group qualification and seeding. For a football nation that has long yearned for a World Cup breakthrough, this side, blending front-line firepower and midfield creativity, is carrying fresh expectations.</w:t>
      </w:r>
    </w:p>
    <w:p>
      <w:pPr>
        <w:pStyle w:val="BodyText"/>
      </w:pPr>
      <w:r>
        <w:rPr>
          <w:b/>
          <w:bCs/>
        </w:rPr>
        <w:t xml:space="preserve">References</w:t>
      </w:r>
    </w:p>
    <w:p>
      <w:pPr>
        <w:pStyle w:val="BodyText"/>
      </w:pPr>
      <w:r>
        <w:t xml:space="preserve">[24] ESPN. (2026, June 21). Japan 4-0 Tunisia: Samurai Blue near knockout stage. ESPN. https://www.espn.com/soccer/report/_/gameId/760449</w:t>
      </w:r>
    </w:p>
    <w:p>
      <w:r>
        <w:pict>
          <v:rect style="width:0;height:1.5pt" o:hralign="center" o:hrstd="t" o:hr="t"/>
        </w:pict>
      </w:r>
    </w:p>
    <w:bookmarkEnd w:id="30"/>
    <w:bookmarkStart w:id="31" w:name="X833a893f72d4ad2fa0a538e9f742653773d863d"/>
    <w:p>
      <w:pPr>
        <w:pStyle w:val="Heading3"/>
      </w:pPr>
      <w:r>
        <w:t xml:space="preserve">A new direct-sales system for paint and thinner launches June 23 to ease a Middle East-driven supply bottleneck</w:t>
      </w:r>
    </w:p>
    <w:p>
      <w:pPr>
        <w:pStyle w:val="FirstParagraph"/>
      </w:pPr>
      <w:r>
        <w:t xml:space="preserve">Japan launched a new direct-sales system for paint and thinner on June 23, letting manufacturers supply construction firms directly to ease supply bottlenecks and curb price increases. The immediate trigger is tightening supply of naphtha — a key raw material for paint and plastics — caused by tensions in the Middle East, as the US-Iran conflict quietly transmits through the raw-materials chain into Japan’s construction and manufacturing sectors.</w:t>
      </w:r>
    </w:p>
    <w:p>
      <w:pPr>
        <w:pStyle w:val="BodyText"/>
      </w:pPr>
      <w:r>
        <w:t xml:space="preserve">This seemingly minor industrial story is in fact a real slice of how Middle East geopolitical conflict is hitting Japan’s real economy. From the yen breaking 161 and rising imported-energy costs, to strong chip exports and uncertain oil prices, to the current shortage of paint feedstock, tension over the Strait of Hormuz is seeping into the fabric of Japan’s economy along multiple threads. Bypassing traditional distribution to supply construction firms directly is a pragmatic industry response to an external supply shock — a reminder that the ripples of geopolitics ultimately land on the cost ledger of every bucket of paint and every building under construction.</w:t>
      </w:r>
    </w:p>
    <w:p>
      <w:pPr>
        <w:pStyle w:val="BodyText"/>
      </w:pPr>
      <w:r>
        <w:rPr>
          <w:b/>
          <w:bCs/>
        </w:rPr>
        <w:t xml:space="preserve">References</w:t>
      </w:r>
    </w:p>
    <w:p>
      <w:pPr>
        <w:pStyle w:val="BodyText"/>
      </w:pPr>
      <w:r>
        <w:t xml:space="preserve">[25] News On Japan. (2026, June 23). Japan launches direct paint and thinner sales system amid naphtha shortage. News On Japan. https://newsonjapan.com/article/149729.php</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2026-06-23T08:31:28Z</dcterms:created>
  <dcterms:modified xsi:type="dcterms:W3CDTF">2026-06-23T08:31:28Z</dcterms:modified>
</cp:coreProperties>
</file>

<file path=docProps/custom.xml><?xml version="1.0" encoding="utf-8"?>
<Properties xmlns="http://schemas.openxmlformats.org/officeDocument/2006/custom-properties" xmlns:vt="http://schemas.openxmlformats.org/officeDocument/2006/docPropsVTypes"/>
</file>