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2026年6月4日</w:t>
      </w:r>
    </w:p>
    <w:p/>
    <w:p>
      <w:pPr>
        <w:pStyle w:val="ListParagraph"/>
        <w:numPr>
          <w:ilvl w:val="0"/>
          <w:numId w:val="8"/>
        </w:numPr>
      </w:pPr>
      <w:r>
        <w:rPr>
          <w:rFonts w:ascii="FangSong_GB2312" w:hAnsi="FangSong_GB2312" w:eastAsia="FangSong_GB2312"/>
          <w:b/>
          <w:sz w:val="21"/>
        </w:rPr>
        <w:t>美众院通过对伊朗战争权力决议四共和党议员倒戈</w:t>
      </w:r>
    </w:p>
    <w:p>
      <w:pPr>
        <w:pStyle w:val="ListParagraph"/>
        <w:numPr>
          <w:ilvl w:val="0"/>
          <w:numId w:val="8"/>
        </w:numPr>
      </w:pPr>
      <w:r>
        <w:rPr>
          <w:rFonts w:ascii="FangSong_GB2312" w:hAnsi="FangSong_GB2312" w:eastAsia="FangSong_GB2312"/>
          <w:b/>
          <w:sz w:val="21"/>
        </w:rPr>
        <w:t>SpaceX启动750亿美元IPO隐含估值1.77万亿美元创纪录</w:t>
      </w:r>
    </w:p>
    <w:p>
      <w:pPr>
        <w:pStyle w:val="ListParagraph"/>
        <w:numPr>
          <w:ilvl w:val="0"/>
          <w:numId w:val="8"/>
        </w:numPr>
      </w:pPr>
      <w:r>
        <w:rPr>
          <w:rFonts w:ascii="FangSong_GB2312" w:hAnsi="FangSong_GB2312" w:eastAsia="FangSong_GB2312"/>
          <w:b/>
          <w:sz w:val="21"/>
        </w:rPr>
        <w:t>CMA强制Google允许英国出版商退出AI Overviews</w:t>
      </w:r>
    </w:p>
    <w:p>
      <w:pPr>
        <w:pStyle w:val="ListParagraph"/>
        <w:numPr>
          <w:ilvl w:val="0"/>
          <w:numId w:val="8"/>
        </w:numPr>
      </w:pPr>
      <w:r>
        <w:rPr>
          <w:rFonts w:ascii="FangSong_GB2312" w:hAnsi="FangSong_GB2312" w:eastAsia="FangSong_GB2312"/>
          <w:b/>
          <w:sz w:val="21"/>
        </w:rPr>
        <w:t>Castlelake联手MSC逾30亿英镑收购EasyJet</w:t>
      </w:r>
    </w:p>
    <w:p>
      <w:pPr>
        <w:pStyle w:val="ListParagraph"/>
        <w:numPr>
          <w:ilvl w:val="0"/>
          <w:numId w:val="8"/>
        </w:numPr>
      </w:pPr>
      <w:r>
        <w:rPr>
          <w:rFonts w:ascii="FangSong_GB2312" w:hAnsi="FangSong_GB2312" w:eastAsia="FangSong_GB2312"/>
          <w:b/>
          <w:sz w:val="21"/>
        </w:rPr>
        <w:t>德国战后首次落选联合国安理会非常任理事国</w:t>
      </w:r>
    </w:p>
    <w:p>
      <w:pPr>
        <w:pStyle w:val="ListParagraph"/>
        <w:numPr>
          <w:ilvl w:val="0"/>
          <w:numId w:val="8"/>
        </w:numPr>
      </w:pPr>
      <w:r>
        <w:rPr>
          <w:rFonts w:ascii="FangSong_GB2312" w:hAnsi="FangSong_GB2312" w:eastAsia="FangSong_GB2312"/>
          <w:b/>
          <w:sz w:val="21"/>
        </w:rPr>
        <w:t>美国通知NATO盟友将削减约三分之一驻欧战机</w:t>
      </w:r>
    </w:p>
    <w:p>
      <w:pPr>
        <w:pStyle w:val="ListParagraph"/>
        <w:numPr>
          <w:ilvl w:val="0"/>
          <w:numId w:val="8"/>
        </w:numPr>
      </w:pPr>
      <w:r>
        <w:rPr>
          <w:rFonts w:ascii="FangSong_GB2312" w:hAnsi="FangSong_GB2312" w:eastAsia="FangSong_GB2312"/>
          <w:b/>
          <w:sz w:val="21"/>
        </w:rPr>
        <w:t>裕信持股商业银行升至34.35%敌意收购进入决定性阶段</w:t>
      </w:r>
    </w:p>
    <w:p>
      <w:pPr>
        <w:pStyle w:val="ListParagraph"/>
        <w:numPr>
          <w:ilvl w:val="0"/>
          <w:numId w:val="8"/>
        </w:numPr>
      </w:pPr>
      <w:r>
        <w:rPr>
          <w:rFonts w:ascii="FangSong_GB2312" w:hAnsi="FangSong_GB2312" w:eastAsia="FangSong_GB2312"/>
          <w:b/>
          <w:sz w:val="21"/>
        </w:rPr>
        <w:t>欧盟拟将四家中国企业纳入第21轮对俄制裁</w:t>
      </w:r>
    </w:p>
    <w:p>
      <w:pPr>
        <w:pStyle w:val="ListParagraph"/>
        <w:numPr>
          <w:ilvl w:val="0"/>
          <w:numId w:val="8"/>
        </w:numPr>
      </w:pPr>
      <w:r>
        <w:rPr>
          <w:rFonts w:ascii="FangSong_GB2312" w:hAnsi="FangSong_GB2312" w:eastAsia="FangSong_GB2312"/>
          <w:b/>
          <w:sz w:val="21"/>
        </w:rPr>
        <w:t>中国首次因台湾议题禁四名新西兰议员入境</w:t>
      </w:r>
    </w:p>
    <w:p>
      <w:pPr>
        <w:pStyle w:val="ListParagraph"/>
        <w:numPr>
          <w:ilvl w:val="0"/>
          <w:numId w:val="8"/>
        </w:numPr>
      </w:pPr>
      <w:r>
        <w:rPr>
          <w:rFonts w:ascii="FangSong_GB2312" w:hAnsi="FangSong_GB2312" w:eastAsia="FangSong_GB2312"/>
          <w:b/>
          <w:sz w:val="21"/>
        </w:rPr>
        <w:t>植田转向抗通胀立场为日本央行6月加息铺路</w:t>
      </w:r>
    </w:p>
    <w:p>
      <w:pPr>
        <w:pStyle w:val="ListParagraph"/>
        <w:numPr>
          <w:ilvl w:val="0"/>
          <w:numId w:val="8"/>
        </w:numPr>
      </w:pPr>
      <w:r>
        <w:rPr>
          <w:rFonts w:ascii="FangSong_GB2312" w:hAnsi="FangSong_GB2312" w:eastAsia="FangSong_GB2312"/>
          <w:b/>
          <w:sz w:val="21"/>
        </w:rPr>
        <w:t>日产桑德兰工厂为奇瑞代工2027财年起一条产线专供</w:t>
      </w:r>
    </w:p>
    <w:p>
      <w:pPr>
        <w:pStyle w:val="ListParagraph"/>
        <w:numPr>
          <w:ilvl w:val="0"/>
          <w:numId w:val="8"/>
        </w:numPr>
      </w:pPr>
      <w:r>
        <w:rPr>
          <w:rFonts w:ascii="FangSong_GB2312" w:hAnsi="FangSong_GB2312" w:eastAsia="FangSong_GB2312"/>
          <w:b/>
          <w:sz w:val="21"/>
        </w:rPr>
        <w:t>日本五年人口减少310万创历史最大跌幅</w:t>
      </w:r>
    </w:p>
    <w:p>
      <w:pPr>
        <w:pStyle w:val="ListParagraph"/>
        <w:numPr>
          <w:ilvl w:val="0"/>
          <w:numId w:val="8"/>
        </w:numPr>
      </w:pPr>
      <w:r>
        <w:rPr>
          <w:rFonts w:ascii="FangSong_GB2312" w:hAnsi="FangSong_GB2312" w:eastAsia="FangSong_GB2312"/>
          <w:b/>
          <w:sz w:val="21"/>
        </w:rPr>
        <w:t>共同民主党拿下12席知事李在明获中期信任票</w:t>
      </w:r>
    </w:p>
    <w:p>
      <w:pPr>
        <w:pStyle w:val="ListParagraph"/>
        <w:numPr>
          <w:ilvl w:val="0"/>
          <w:numId w:val="8"/>
        </w:numPr>
      </w:pPr>
      <w:r>
        <w:rPr>
          <w:rFonts w:ascii="FangSong_GB2312" w:hAnsi="FangSong_GB2312" w:eastAsia="FangSong_GB2312"/>
          <w:b/>
          <w:sz w:val="21"/>
        </w:rPr>
        <w:t>韩元跌至17年低位财长召集紧急会议誓即时干预</w:t>
      </w:r>
    </w:p>
    <w:p/>
    <w:p/>
    <w:p>
      <w:r>
        <w:rPr>
          <w:rFonts w:ascii="FangSong_GB2312" w:hAnsi="FangSong_GB2312" w:eastAsia="FangSong_GB2312"/>
          <w:b/>
          <w:sz w:val="24"/>
        </w:rPr>
        <w:t>1.美众院通过对伊朗战争权力决议四共和党议员倒戈</w:t>
      </w:r>
    </w:p>
    <w:p>
      <w:r>
        <w:rPr>
          <w:rFonts w:ascii="FangSong_GB2312" w:hAnsi="FangSong_GB2312" w:eastAsia="FangSong_GB2312"/>
          <w:b w:val="0"/>
          <w:sz w:val="21"/>
        </w:rPr>
        <w:t>美国众议院6月3日以215票对208票通过战争权力决议案要求总统终止对伊朗的军事行动，四名共和党议员——汤姆·巴雷特（Tom Barrett）、沃伦·戴维森（Warren Davidson）、托马斯·马西（Thomas Massie）与布莱恩·菲茨帕特里克（Brian Fitzpatrick）——打破党纪投下赞成票，这是众议院针对当前对伊冲突的第四次表决，亦是2026年以来反对派议员首次成功凝聚出跨党派多数，议长迈克·约翰逊（Mike Johnson）此前两周曾以程序手段阻止议程付诸表决；争议焦点在于1973年《战争权力法》对2月28日开启的美以联合行动是否仍具约束力——批评者认为美军已突破4月29日的60天撤军期限，国务卿马尔科·鲁比奥（Marco Rubio）以4月8日停火协议宣称"（对伊朗的）战争已经结束"，参议员珍妮·沙欣（Jeanne Shaheen）则反驳冲突仍在持续；停火生效24小时内一名联合国维和人员在黎巴嫩马尔贾尤恩附近迫击炮袭击中身亡，伊朗无人机袭击科威特国际机场致一名印度公民死亡63人受伤，美国随后打击格什姆岛伊朗军事控制站，决议能否在参议院复制仍是未知数。 [1]</w:t>
      </w:r>
    </w:p>
    <w:p/>
    <w:p>
      <w:r>
        <w:rPr>
          <w:rFonts w:ascii="FangSong_GB2312" w:hAnsi="FangSong_GB2312" w:eastAsia="FangSong_GB2312"/>
          <w:b/>
          <w:sz w:val="24"/>
        </w:rPr>
        <w:t>2.SpaceX启动750亿美元IPO隐含估值1.77万亿美元创纪录</w:t>
      </w:r>
    </w:p>
    <w:p>
      <w:r>
        <w:rPr>
          <w:rFonts w:ascii="FangSong_GB2312" w:hAnsi="FangSong_GB2312" w:eastAsia="FangSong_GB2312"/>
          <w:b w:val="0"/>
          <w:sz w:val="21"/>
        </w:rPr>
        <w:t>SpaceX 6月4日正式启动投资人路演定于6月12日以代码"SPCX"挂牌纳斯达克，发行价固定每股135美元、发行5.556亿股，目标募资约750亿美元，对应隐含市值约1.77万亿美元、高于特斯拉当前约1.6万亿美元估值，将成为美股近年规模最大科技股IPO；招股书披露马斯克持股约42%但掌握逾85%投票权，Goldman Sachs担任承销团首席，最终定价定于6月11日完成；估值锚定Starlink——其连接业务收入由2024年77亿美元增长83%至2025年114亿美元，订阅用户由440万跃升至2025年底890万、2026年3月底达1,030万，2025年贡献约44亿美元经营利润，是SpaceX每5美元收入中的3美元来源；韦德布什证券分析师Dan Ives称这是"公开市场在经历多年沉寂IPO活动后的首次重大检验，SpaceX为Anthropic与OpenAI等AI巨头随后入市铺平了道路"，固定发行价加上对Starlink订阅经济的高度依赖，使本次IPO对宏观流动性的敏感度异常之高。 [2]</w:t>
      </w:r>
    </w:p>
    <w:p/>
    <w:p>
      <w:r>
        <w:rPr>
          <w:rFonts w:ascii="FangSong_GB2312" w:hAnsi="FangSong_GB2312" w:eastAsia="FangSong_GB2312"/>
          <w:b/>
          <w:sz w:val="24"/>
        </w:rPr>
        <w:t>3.CMA强制Google允许英国出版商退出AI Overviews</w:t>
      </w:r>
    </w:p>
    <w:p>
      <w:r>
        <w:rPr>
          <w:rFonts w:ascii="FangSong_GB2312" w:hAnsi="FangSong_GB2312" w:eastAsia="FangSong_GB2312"/>
          <w:b w:val="0"/>
          <w:sz w:val="21"/>
        </w:rPr>
        <w:t>英国竞争与市场管理局（CMA）6月3日发出正式通知要求Google为英国出版商提供从搜索结果"AI Overviews"功能中退出的选项、同时保留其在常规搜索结果中的位置，Google同日对部分英国媒体网站启动新控件测试，主控义务2026年12月3日生效、逐页面控件2027年3月3日生效；监管抓手是CMA今年早些时候依据新《数字市场、竞争与消费者法》认定Google在英国"具备战略市场地位"（Strategic Market Status），其在英国搜索查询份额超过90%，新规还要求Google允许出版商单独退出"用于AI模型微调"的内容利用，把"是否能在AI Overviews中被引用"与"是否同意被用于训练模型"两件事拆开处理；Google已表示将在英国测试后把相关控件推向全球——一国监管者可能就此为AI如何摘取开放网络内容重设规则，券商研究指出本次裁定将出版商的议价权"明显向英国一侧倾斜"。 [3]</w:t>
      </w:r>
    </w:p>
    <w:p/>
    <w:p>
      <w:r>
        <w:rPr>
          <w:rFonts w:ascii="FangSong_GB2312" w:hAnsi="FangSong_GB2312" w:eastAsia="FangSong_GB2312"/>
          <w:b/>
          <w:sz w:val="24"/>
        </w:rPr>
        <w:t>4.Castlelake联手MSC逾30亿英镑收购EasyJet</w:t>
      </w:r>
    </w:p>
    <w:p>
      <w:r>
        <w:rPr>
          <w:rFonts w:ascii="FangSong_GB2312" w:hAnsi="FangSong_GB2312" w:eastAsia="FangSong_GB2312"/>
          <w:b w:val="0"/>
          <w:sz w:val="21"/>
        </w:rPr>
        <w:t>美国私募信贷机构Castlelake正在洽谈与全球最大集装箱航运集团MSC组团对英国低成本航空EasyJet发起逾30亿英镑收购报价，按《收购守则》"必须明确意向"（PUSU）规则须在6月26日前确认正式报价或撤回，留给买方窗口期不足四周；按30亿英镑下限测算每股不少于403.23便士，组团结构反映监管层面关键考虑——EasyJet作为英国与欧盟双注册航司须满足欧盟航空运营资质中欧盟实体控股要求，由意大利亿万富翁Gianluigi Aponte家族控制的MSC可提供欧盟一侧所有权身份，并把目标公司带入MSC既有的"航运+物流+邮轮"业务网络，业内将其潜在结构与德国TUI的"机票+邮轮+地接"模式作比；EasyJet方面已对潜在报价的"高度机会主义性质"表态，若推进将是近年欧洲低成本航空板块最大规模的私有化候选案例之一。 [4]</w:t>
      </w:r>
    </w:p>
    <w:p/>
    <w:p>
      <w:r>
        <w:rPr>
          <w:rFonts w:ascii="FangSong_GB2312" w:hAnsi="FangSong_GB2312" w:eastAsia="FangSong_GB2312"/>
          <w:b/>
          <w:sz w:val="24"/>
        </w:rPr>
        <w:t>5.德国战后首次落选联合国安理会非常任理事国</w:t>
      </w:r>
    </w:p>
    <w:p>
      <w:r>
        <w:rPr>
          <w:rFonts w:ascii="FangSong_GB2312" w:hAnsi="FangSong_GB2312" w:eastAsia="FangSong_GB2312"/>
          <w:b w:val="0"/>
          <w:sz w:val="21"/>
        </w:rPr>
        <w:t>联合国大会6月3日不记名投票选出五席2027-2028年安理会非常任理事国，葡萄牙以134票、奥地利以131票拿下"西欧及其他"集团两席，德国仅获104票、距127票三分之二门槛尚差23票，这是德国战后历史上首次在安理会竞选中败北——此前柏林曾六度成功当选，亦是1990年两德统一以来首度铩羽，新任理事国奥地利、吉尔吉斯斯坦、葡萄牙、特立尼达和多巴哥与津巴布韦将于2027年1月1日起就职两年；德国外长约翰·瓦德富尔（Johann Wadephul）当晚将结果定性为"一次苦涩的失败"，承认柏林在乌克兰与以色列问题上的立场可能让德国失分——"我们在某些议题上始终立场鲜明，而这些立场并非所有成员国都认同"，并重申"德国必须始终对以色列承担一份特殊的责任"；前德国外长、现任联合国大会主席安娜莱娜·贝尔伯克（Annalena Baerbock）当场宣读了开票结果，昆西研究所Trita Parsi评论"德国对以色列罪行的盲目支持让它失去了安理会席位。理应如此"，汉斯-赛德尔基金会研究员Alexander Wolf博士则把失利归因于柏林对外承诺兑现不足而非加沙立场。 [5]</w:t>
      </w:r>
    </w:p>
    <w:p/>
    <w:p>
      <w:r>
        <w:rPr>
          <w:rFonts w:ascii="FangSong_GB2312" w:hAnsi="FangSong_GB2312" w:eastAsia="FangSong_GB2312"/>
          <w:b/>
          <w:sz w:val="24"/>
        </w:rPr>
        <w:t>6.美国通知NATO盟友将削减约三分之一驻欧战机</w:t>
      </w:r>
    </w:p>
    <w:p>
      <w:r>
        <w:rPr>
          <w:rFonts w:ascii="FangSong_GB2312" w:hAnsi="FangSong_GB2312" w:eastAsia="FangSong_GB2312"/>
          <w:b w:val="0"/>
          <w:sz w:val="21"/>
        </w:rPr>
        <w:t>美国驻欧洲司令部司令、北约欧洲盟军最高司令格林凯维奇上将（General Alexus G. Grynkewich）6月4日确认华盛顿已正式通知盟友将削减并重组对NATO力量模型的兵力贡献，预计交付欧洲战区的美军战斗机数量将减少约三分之一，决定由战争政策副部长艾尔布里奇·科尔比（Elbridge Colby）办公室主任亚历山大·维莱兹-格林（Alexander Velez-Green）于5月22日先行知会盟友，并在6月2日至3日比利时蒙斯（Mons）SHAPE北约部队来源会议上正式讨论；格林凯维奇为决定辩护——"NATO力量模型对美军存在一种不健康的依赖。特朗普总统已表明这必须改变，而它也将改变"，会议由英国副最高盟军司令、空军上将Sir Johnny Stringer主持，包括波罗的海三国在内的六个NATO盟友当场表达关切，担忧此举将在俄乌战事尚未停火、波罗的海安全形势紧绷之际削弱东翼威慑；重组与特朗普政府推动盟友提高自身国防开支、由国防部长皮特·赫格塞斯（Pete Hegseth）主导的对欧军事姿态调整相一致。 [6]</w:t>
      </w:r>
    </w:p>
    <w:p/>
    <w:p>
      <w:r>
        <w:rPr>
          <w:rFonts w:ascii="FangSong_GB2312" w:hAnsi="FangSong_GB2312" w:eastAsia="FangSong_GB2312"/>
          <w:b/>
          <w:sz w:val="24"/>
        </w:rPr>
        <w:t>7.裕信持股商业银行升至34.35%敌意收购进入决定性阶段</w:t>
      </w:r>
    </w:p>
    <w:p>
      <w:r>
        <w:rPr>
          <w:rFonts w:ascii="FangSong_GB2312" w:hAnsi="FangSong_GB2312" w:eastAsia="FangSong_GB2312"/>
          <w:b w:val="0"/>
          <w:sz w:val="21"/>
        </w:rPr>
        <w:t>意大利裕信银行（UniCredit）截至6月2日把对德国商业银行（Commerzbank）的直接持股提升至34.35%，远高于德国法律下30%的强制要约门槛，标志着首席执行官安德烈·奥赛尔（Andrea Orcel）发起的欧洲跨境银行业并购最大一桩交易进入决定性阶段；裕信于5月5日正式启动敌意换股要约，按比例向德国商业银行股东派发0.458股新发裕信股票——以裕信周一收盘价73.72欧元计算，对德国商业银行隐含估值为每股35.75欧元、低于市场收盘价37欧元——投资者已就德国商业银行总股本的7.6%作出股份递交；德国商业银行管理层此前已发布逾百页防御材料建议股东拒绝，称报价"未提供充分溢价"并警告整合方案可能危及收入并引发大规模裁员，德国总理默茨亦公开反对裕信的攻势姿态，德国政府目前仍持有约12%股份；接受期截至2026年7月3日，鉴于反垄断与金融监管审批的复杂性，裕信预计交易最早需到2027年才能完成。 [7]</w:t>
      </w:r>
    </w:p>
    <w:p/>
    <w:p>
      <w:r>
        <w:rPr>
          <w:rFonts w:ascii="FangSong_GB2312" w:hAnsi="FangSong_GB2312" w:eastAsia="FangSong_GB2312"/>
          <w:b/>
          <w:sz w:val="24"/>
        </w:rPr>
        <w:t>8.欧盟拟将四家中国企业纳入第21轮对俄制裁</w:t>
      </w:r>
    </w:p>
    <w:p>
      <w:r>
        <w:rPr>
          <w:rFonts w:ascii="FangSong_GB2312" w:hAnsi="FangSong_GB2312" w:eastAsia="FangSong_GB2312"/>
          <w:b w:val="0"/>
          <w:sz w:val="21"/>
        </w:rPr>
        <w:t>欧盟对外行动署正准备对四家中国企业实施制裁，指控其向俄罗斯军队提供化学品及用于打击型无人机的关键部件，相关措施将作为"迷你方案"纳入6月15日卢森堡欧盟外长会议表决议程，方案同时覆盖五家阿联酋公司、三家土耳其公司、一家阿塞拜疆公司，以及俄罗斯能源巨头卢克石油（Lukoil）的多家子公司；这是2026年4月23日欧盟通过第20轮对俄制裁方案的延伸——第20轮已首次大规模将中国和香港实体直接纳入对俄军工产业链的制裁名单、共涉及16家中国相关实体，被认定为向俄军工复合体提供两用物资和高技术部件的第三国通道，中方当时在24小时内反向制裁了来自比利时、德国和捷克的7家欧洲国防企业；本轮政治时机敏感——欧盟贸易委员马罗斯·谢夫乔维奇（Maroš Šefčovič）6月4日在巴黎OECD部长级会议期间与中方贸易代表李成钢会晤，2025年欧盟对华贸易逆差扩大至创纪录的3,599亿欧元，欧委会会前直白表态"当前贸易与投资关系不可持续"，中方官方回应将采取"有力反制措施和有效行动维护自身利益"。 [8]</w:t>
      </w:r>
    </w:p>
    <w:p/>
    <w:p>
      <w:r>
        <w:rPr>
          <w:rFonts w:ascii="FangSong_GB2312" w:hAnsi="FangSong_GB2312" w:eastAsia="FangSong_GB2312"/>
          <w:b/>
          <w:sz w:val="24"/>
        </w:rPr>
        <w:t>9.中国首次因台湾议题禁四名新西兰议员入境</w:t>
      </w:r>
    </w:p>
    <w:p>
      <w:r>
        <w:rPr>
          <w:rFonts w:ascii="FangSong_GB2312" w:hAnsi="FangSong_GB2312" w:eastAsia="FangSong_GB2312"/>
          <w:b w:val="0"/>
          <w:sz w:val="21"/>
        </w:rPr>
        <w:t>中国6月4日宣布禁止四名新西兰议员入境中国大陆、香港及澳门，禁令为期一年，理由是其于2026年5月以跨党派台湾议员小组成员身份访问台湾，这是北京首次对新西兰国会议员发出此类制裁；被禁议员分别来自四个政党：ACT党的劳拉·麦克卢尔（Laura McClure）、国家党的莫琳·普赫（Maureen Pugh）、工党的邓肯·韦布（Duncan Webb）、新西兰优先党的大卫·威尔逊（David Wilson），中国驻惠灵顿大使馆开出条件——道歉即可解除禁令，麦克卢尔回应"要求道歉这件事坦率地说是一种侮辱""我个人不会道歉"，韦布表态"如果代价是被中国禁入一年，我愿意付这个代价"；新西兰外长温斯顿·彼得斯（Winston Peters）表示"感到意外"，澳大利亚外长黄英贤（Penny Wong）称"对议员施压并不恰当"；这是北京将议会旅行禁令工具从欧洲延伸至太平洋的扩展——2021年3月曾以反制欧盟新疆制裁为由对5名欧洲议会议员实施反制裁、直至2025年才解除；新西兰对华经济敞口远高于多数西方国家，2024年对华出口约250亿新元、中国为其最大出口目的地，乳制品、木材、肉类和旅游服务为支柱品类，惠灵顿仅作外交交涉、未对等反制，与这一结构性依赖直接相关。 [9]</w:t>
      </w:r>
    </w:p>
    <w:p/>
    <w:p>
      <w:r>
        <w:rPr>
          <w:rFonts w:ascii="FangSong_GB2312" w:hAnsi="FangSong_GB2312" w:eastAsia="FangSong_GB2312"/>
          <w:b/>
          <w:sz w:val="24"/>
        </w:rPr>
        <w:t>10.植田转向抗通胀立场为日本央行6月加息铺路</w:t>
      </w:r>
    </w:p>
    <w:p>
      <w:r>
        <w:rPr>
          <w:rFonts w:ascii="FangSong_GB2312" w:hAnsi="FangSong_GB2312" w:eastAsia="FangSong_GB2312"/>
          <w:b w:val="0"/>
          <w:sz w:val="21"/>
        </w:rPr>
        <w:t>日本银行行长植田和男6月4日发表演讲明确表示"即使中东形势仍不明朗，我们也必须在加息的好处与对经济活动的风险之间进行权衡"，被市场解读为彻底卸下过去鸽派外衣——以往他倾向将能源驱动的物价上涨视为暂时性供给冲击而"看穿"，如今则承认战争推动的物价上涨若引发第二轮工资—物价螺旋央行必须出手；短期利率期货显示6月15日至16日货币政策会议加息概率约78%，三位知悉央行决策思路的人士向路透社透露央行预计将上调利率除非中东冲突大幅升级，市场定价约80%概率认为短期政策利率将从0.75%上调至1%，这一水平自1995年以来未再触及；央行去年12月已将利率从0.50%上调至0.75%，且可能在2027财年放缓甚至暂停国债购买削减步伐，背景是日本10年期国债收益率近期一度触及29年高位的2.8%、长端利率快速上行已对超长期债券拍卖和保险机构资产配置形成压力；SMBC日兴证券分析师Rinto Maruyama指出"日元的任何反弹都将是有限的"，反映即便加息预期升温、美日利差结构仍未根本扭转。 [10]</w:t>
      </w:r>
    </w:p>
    <w:p/>
    <w:p>
      <w:r>
        <w:rPr>
          <w:rFonts w:ascii="FangSong_GB2312" w:hAnsi="FangSong_GB2312" w:eastAsia="FangSong_GB2312"/>
          <w:b/>
          <w:sz w:val="24"/>
        </w:rPr>
        <w:t>11.日产桑德兰工厂为奇瑞代工2027财年起一条产线专供</w:t>
      </w:r>
    </w:p>
    <w:p>
      <w:r>
        <w:rPr>
          <w:rFonts w:ascii="FangSong_GB2312" w:hAnsi="FangSong_GB2312" w:eastAsia="FangSong_GB2312"/>
          <w:b w:val="0"/>
          <w:sz w:val="21"/>
        </w:rPr>
        <w:t>日产汽车与中国奇瑞汽车6月4日签署非约束性谅解备忘录，奇瑞品牌车型将自2027财年（截至2028年3月）起在日产英国桑德兰工厂的"一号产线"投产，日产保留对桑德兰工厂的完全所有权、约6,000名工人继续作为日产员工——意味着合作采用"代工"而非合资形式；桑德兰工厂目前产能利用率约50%、运行两条生产线生产包括Leaf电动车在内的三款日产车型，框架下一条产线将专供奇瑞，日产将剩余车型整合至另一条产线，交易未披露财务条款，这是中国汽车品牌首次在英国实现大规模本土化生产；日产2025财年净亏损5,331亿日元、桑德兰长期面临产能空置压力，奇瑞2026年5月海外销量17.77万辆同比增长20.5%但面临欧盟对华电动车关税与本地化生产门槛，日产以"未售出的产能"换取奇瑞"未落地的欧洲产线"，对两家公司都是直接的利益匹配，但安排也将检验英国对中国汽车品牌深度进入本土供应链的政策容忍度——尤其在英国与欧盟、与美国就汽车与电池供应链协调的当前节奏下。 [11]</w:t>
      </w:r>
    </w:p>
    <w:p/>
    <w:p>
      <w:r>
        <w:rPr>
          <w:rFonts w:ascii="FangSong_GB2312" w:hAnsi="FangSong_GB2312" w:eastAsia="FangSong_GB2312"/>
          <w:b/>
          <w:sz w:val="24"/>
        </w:rPr>
        <w:t>12.日本五年人口减少310万创历史最大跌幅</w:t>
      </w:r>
    </w:p>
    <w:p>
      <w:r>
        <w:rPr>
          <w:rFonts w:ascii="FangSong_GB2312" w:hAnsi="FangSong_GB2312" w:eastAsia="FangSong_GB2312"/>
          <w:b w:val="0"/>
          <w:sz w:val="21"/>
        </w:rPr>
        <w:t>日本2025年国势调查初步结果显示截至2025年10月1日总人口为123,049,524人、较五年前减少310万人，降幅2.5%——为现代国势调查实施以来最大单次五年降幅，总务省6月4日公布数据，降幅从2020年的0.7%急剧加速至2025年的2.5%；47个都道府县中仅东京（+19.9万）和冲绳（+约1,000）实现正增长，其余45个均下滑，北海道减少23.9万、静冈16.4万、兵库14.1万，东京集中了全国人口的11.6%（约1,424万人）、前八个都道府县合计占全国50%以上，全国家庭数升至5,710万户（+2.3%）但平均每户人口降至2.15人为1970年以来最低；厚生劳动省同日发布的人口动态统计显示2025年日本籍新生儿数671,236人、同比下降2.2%连续10年下滑刷新历史最低纪录，总和生育率（TFR）降至1.14再创新低，自然人口减少918,253人连续第19年负增长，国立社会保障·人口问题研究所此前预测约74.9万——实际较预测低7.8万（10.4%），意味着官方人口模型已系统性高估出生率，未来的社保收支、劳动力供给、医疗体系压力测试都需要重新校准，全球人口排序中日本从第11位下滑至第12位。 [12]</w:t>
      </w:r>
    </w:p>
    <w:p/>
    <w:p>
      <w:r>
        <w:rPr>
          <w:rFonts w:ascii="FangSong_GB2312" w:hAnsi="FangSong_GB2312" w:eastAsia="FangSong_GB2312"/>
          <w:b/>
          <w:sz w:val="24"/>
        </w:rPr>
        <w:t>13.共同民主党拿下12席知事李在明获中期信任票</w:t>
      </w:r>
    </w:p>
    <w:p>
      <w:r>
        <w:rPr>
          <w:rFonts w:ascii="FangSong_GB2312" w:hAnsi="FangSong_GB2312" w:eastAsia="FangSong_GB2312"/>
          <w:b w:val="0"/>
          <w:sz w:val="21"/>
        </w:rPr>
        <w:t>韩国6月3日地方选举开票结果显示执政共同民主党在全国16个市道知事席位中赢得12席、国民力量党仅获4席，同步举行的国会议员补选14席中共同民主党拿下9席、国民力量党4席，227个区市郡首长席位中共同民主党获119席、国民力量党95席，投票率55.9%；此次选举恰逢李在明（Lee Jae Myung）就任总统满一周年，被普遍视为对其执政一年的中期信任投票，党首郑清来（Jung Chung-rae）表示"我对国民给予共同民主党压倒性胜利深表感谢"，民主党候选人千在洙在釜山击败现任市长朴炯俊，金相旭在蔚山击败现任市长金斗谦，前法务部长官秋美爱（Choo Mi-ae）以55.04%对39.37%击败国民力量党梁香子赢得人口超1,400万的京畿道知事一职、成为韩国历史上首位女性道知事；保守阵营唯一实质性收获是国民力量党现任首尔市长吴世勋（Oh Se-hoon）凌晨戏剧性反转以48.77%对48.51%微弱优势击败共同民主党挑战者郑元五，成为韩国地方自治史上首位连续五度赢得首尔市长选举的政治人物；同步举行的地区教育监选举进步派在16席中赢得11席，但中央选管会因17处投票站选票短缺遭刑事告发、李在明亲斥为"选举管理领域不可接受的失败"。 [13]</w:t>
      </w:r>
    </w:p>
    <w:p/>
    <w:p>
      <w:r>
        <w:rPr>
          <w:rFonts w:ascii="FangSong_GB2312" w:hAnsi="FangSong_GB2312" w:eastAsia="FangSong_GB2312"/>
          <w:b/>
          <w:sz w:val="24"/>
        </w:rPr>
        <w:t>14.韩元跌至17年低位财长召集紧急会议誓即时干预</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韩元6月4日在首尔汇市跌至每美元1,529.7韩元、较前一日下挫13.7韩元、触及逾17年低位，韩国财政部紧急召集四名核心金融官员召开市场稳定会议，与会者包括财政部长官具润哲（Koo Yun-cheol）、韩国央行总裁申铉颂（Shin Hyun-song）、金融委员会主席李億源（Lee Eog-weon）以及金融监督院院长李灿镇（Lee Chan-jin）；具润哲会后表示"政府目前正在以高度警惕的姿态监测局势，避免外部不确定性演变为持续扩大的市场焦虑。一旦市场出现过度波动，政府将立即采取必要措施加以应对"；韩国宏观基本面并未恶化——5月出口同比大增53.2%、本地股市总市值仍位居全球第六，当局判断本轮韩元走弱更多反映美元强势与跨境资本流动逆转、而非国内基本面问题；KOSPI同日收于8,639.41点、下跌1.84%，外国投资者净卖出6.95万亿韩元将连续净卖出纪录延长至19个交易日，三星电子跌2.5%、SK海力士跌2.63%、现代汽车跌3.98%、三星生命大跌8.75%；5月末韩国外汇储备4,269.9亿美元、较4月末减少8.8亿美元、全球排名滑落至第十二位，央行将下降归因于与国民年金公团的外汇稳定掉期操作。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https://www.aljazeera.com/news/2026/6/4/us-house-votes-to-end-trumps-iran-war-does-it-matter</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https://www.euronews.com/business/2026/06/04/spacex-sets-ipo-price-valuing-company-at-175tn-ahead-of-record-debut</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https://www.gov.uk/government/news/cma-secures-fairer-deal-for-publishers-and-improves-google-search-services-in-uk</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https://www.rte.ie/news/business/2026/0604/1576692-castlelake-offer-for-easyjet/</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https://www.aljazeera.com/news/2026/6/4/did-germany-lose-its-unsc-seat-because-of-support-for-israel</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https://thedailyguardian.com/world/us-to-rightsize-nato-force-contributions-says-us-european-command20260604143102-705326/</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https://finance.yahoo.com/news/unicredit-says-commerzbank-takeover-bid-132309860.html</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https://knews.media/2026/06/04/the-eu-has-a-plan-for-china-this-will-infuriate-beijing-lets-fasten-our-seatbelts-its-going-to-be-a-clash/</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https://abcnews.com/International/wireStory/beijing-bans-4-new-zealand-lawmakers-entering-china-133576170</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https://finance.yahoo.com/economy/policy/articles/analysis-bojs-ueda-pivots-inflation-040102513.html</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https://japantoday.com/category/business/nissan-eyes-making-cars-for-chinese-automaker-chery-at-plant-in-britain</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https://www.nippon.com/en/japan-data/h02799/</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https://www.koreaherald.com/article/10763729</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https://www.koreaherald.com/article/10763356</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