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日本每日热点新闻-2026年5月22日"/>
    <w:p>
      <w:pPr>
        <w:pStyle w:val="Heading1"/>
      </w:pPr>
      <w:r>
        <w:rPr>
          <w:rFonts w:hint="eastAsia"/>
        </w:rPr>
        <w:t xml:space="preserve">日本每日热点新闻</w:t>
      </w:r>
      <w:r>
        <w:t xml:space="preserve"> — </w:t>
      </w:r>
      <w:r>
        <w:rPr>
          <w:rFonts w:hint="eastAsia"/>
        </w:rPr>
        <w:t xml:space="preserve">2026年5月22日</w:t>
      </w:r>
    </w:p>
    <w:bookmarkStart w:id="13" w:name="一经济与市场"/>
    <w:p>
      <w:pPr>
        <w:pStyle w:val="Heading2"/>
      </w:pPr>
      <w:r>
        <w:rPr>
          <w:rFonts w:hint="eastAsia"/>
        </w:rPr>
        <w:t xml:space="preserve">一、经济与市场</w:t>
      </w:r>
    </w:p>
    <w:bookmarkStart w:id="9" w:name="月核心cpi同比1.4创四年低位意外软读未撼动日银6月升息预期"/>
    <w:p>
      <w:pPr>
        <w:pStyle w:val="Heading3"/>
      </w:pPr>
      <w:r>
        <w:rPr>
          <w:rFonts w:hint="eastAsia"/>
        </w:rPr>
        <w:t xml:space="preserve">4月核心CPI同比1.4%创四年低位，意外软读未撼动日银6月升息预期</w:t>
      </w:r>
    </w:p>
    <w:p>
      <w:pPr>
        <w:pStyle w:val="FirstParagraph"/>
      </w:pPr>
      <w:r>
        <w:rPr>
          <w:rFonts w:hint="eastAsia"/>
        </w:rPr>
        <w:t xml:space="preserve">总务省5月22日发布的4月全国消费者物价指数（CPI）显示，剔除生鲜食品的核心CPI同比上涨1.4%，为2022年3月以来近四年最低水平，亦低于路透调查所有经济学家中位数1.7%的预期；整体CPI同样为1.4%，较3月的1.5%进一步回落，连续第4个月低于日银2%目标。剔除生鲜食品与能源的“核心-核心”指标——日银观察基础需求型通胀的首选指标——由3月的2.4%大幅下滑至1.9%，为2024年7月以来最弱读数。</w:t>
      </w:r>
    </w:p>
    <w:p>
      <w:pPr>
        <w:pStyle w:val="BodyText"/>
      </w:pPr>
      <w:r>
        <w:rPr>
          <w:rFonts w:hint="eastAsia"/>
        </w:rPr>
        <w:t xml:space="preserve">价格疲软的来源呈现明显的“政策与一次性因素”特征。能源价格同比下降3.9%，跌幅较3月的5.7%收窄，部分反映临时燃油税减免政策结束；加工食品的涨价节奏较3月明显放慢，私立高中学费降幅扩大，耐用消费品价格涨幅亦明显回落。市场对此的解读高度一致：CPI意外回落的主要推手是政府补贴与短期因素，并非基础需求疲弱。东京股市当日大幅反应——日经225指数收涨逾2%，亚太股市普遍走高。</w:t>
      </w:r>
    </w:p>
    <w:p>
      <w:pPr>
        <w:pStyle w:val="BodyText"/>
      </w:pPr>
      <w:r>
        <w:rPr>
          <w:rFonts w:hint="eastAsia"/>
        </w:rPr>
        <w:t xml:space="preserve">更关键的政策信号是市场仍维持6月加息押注。DBS分析师在当日发布的报告中写道：“强劲的出口能够让日银对加息怀有信心。”路透调查的经济学家中三分之二预期日银将在6月15—16日的政策会议上加息，掉期市场计入的加息概率约为70%—80%。日银的鹰派阵营本周已通过审议委员小枝淳子5月21日在福冈的演讲发声，将通胀压力归因于中东战事带来的能源结构性冲击——这与4月CPI的政策性回落形成对照，意味着日银或更倾向把当月数据视为“噪音”而非“信号”。下次会议距今不到一个月。</w:t>
      </w:r>
    </w:p>
    <w:p>
      <w:pPr>
        <w:pStyle w:val="BodyText"/>
      </w:pPr>
      <w:r>
        <w:rPr>
          <w:b/>
          <w:bCs/>
        </w:rPr>
        <w:t xml:space="preserve">References</w:t>
      </w:r>
    </w:p>
    <w:p>
      <w:pPr>
        <w:pStyle w:val="BodyText"/>
      </w:pPr>
      <w:r>
        <w:t xml:space="preserve">[1] CNBC. (2026, May 22). Japan’s April core inflation hits 4-year low, complicating BOJ rate hike outlook. CNBC. https://www.cnbc.com/2026/05/22/japan-april-core-inflation-boj-rate-hike-outlook.html</w:t>
      </w:r>
      <w:r>
        <w:t xml:space="preserve"> </w:t>
      </w:r>
      <w:r>
        <w:t xml:space="preserve">[2] The Japan Times. (2026, May 22). Japan core CPI rises 1.4% in April, slowest pace in four years. The Japan Times. https://www.japantimes.co.jp/business/2026/05/22/economy/cpi-april-rise/</w:t>
      </w:r>
      <w:r>
        <w:t xml:space="preserve"> </w:t>
      </w:r>
      <w:r>
        <w:t xml:space="preserve">[3] InvestingLive. (2026, May 22). Asia-Pacific markets climb, Japan CPI hits four-year low. InvestingLive. https://investinglive.com/news/investinglive-asia-pacific-fx-news-wrap-asia-markets-climb-japan-cpi-hits-four-year-low-20260522/</w:t>
      </w:r>
    </w:p>
    <w:p>
      <w:r>
        <w:pict>
          <v:rect style="width:0;height:1.5pt" o:hralign="center" o:hrstd="t" o:hr="t"/>
        </w:pict>
      </w:r>
    </w:p>
    <w:bookmarkEnd w:id="9"/>
    <w:bookmarkStart w:id="10" w:name="日银审议委员小枝淳子主张以适当节奏加息警示中东战事推升基础通胀"/>
    <w:p>
      <w:pPr>
        <w:pStyle w:val="Heading3"/>
      </w:pPr>
      <w:r>
        <w:rPr>
          <w:rFonts w:hint="eastAsia"/>
        </w:rPr>
        <w:t xml:space="preserve">日银审议委员小枝淳子主张“以适当节奏”加息，警示中东战事推升基础通胀</w:t>
      </w:r>
    </w:p>
    <w:p>
      <w:pPr>
        <w:pStyle w:val="FirstParagraph"/>
      </w:pPr>
      <w:r>
        <w:rPr>
          <w:rFonts w:hint="eastAsia"/>
        </w:rPr>
        <w:t xml:space="preserve">日本银行审议委员小枝淳子（KOEDA</w:t>
      </w:r>
      <w:r>
        <w:t xml:space="preserve"> </w:t>
      </w:r>
      <w:r>
        <w:rPr>
          <w:rFonts w:hint="eastAsia"/>
        </w:rPr>
        <w:t xml:space="preserve">Junko）5月21日在福冈面向商界发表演讲——题为《Economic</w:t>
      </w:r>
      <w:r>
        <w:t xml:space="preserve"> Activity, Prices, and Monetary Policy in </w:t>
      </w:r>
      <w:r>
        <w:rPr>
          <w:rFonts w:hint="eastAsia"/>
        </w:rPr>
        <w:t xml:space="preserve">Japan》——主张日银应继续以“适当的节奏”上调政策利率，并表示鉴于中东持续战事，基础通胀有可能被推至2%目标之上。她直言：“鉴于中东局势，我认为基础通胀未来存在超过2%的可能性。”她随后补充：“我认为以适当节奏上调政策利率以应对高通胀、同时兼顾对经济的权衡，是合理的。”</w:t>
      </w:r>
    </w:p>
    <w:p>
      <w:pPr>
        <w:pStyle w:val="BodyText"/>
      </w:pPr>
      <w:r>
        <w:rPr>
          <w:rFonts w:hint="eastAsia"/>
        </w:rPr>
        <w:t xml:space="preserve">讲话之所以被市场视作鹰派信号，关键在其框架。小枝指出：“过去一两个月的发展可能已经提高了高油价持续这一风险情景的发生概率。”——这意味着她不再把能源冲击视为短期扰动，而是将其纳入了基础通胀路径。她进一步指出，与历史时期相比，货币政策在应对通胀方面必须承担更重的责任，并警告“实际利率长期远低于中性水平可能在未来造成意料之外的资源配置扭曲”。同为审议委员的增一行也曾发表类似立场。</w:t>
      </w:r>
    </w:p>
    <w:p>
      <w:pPr>
        <w:pStyle w:val="BodyText"/>
      </w:pPr>
      <w:r>
        <w:rPr>
          <w:rFonts w:hint="eastAsia"/>
        </w:rPr>
        <w:t xml:space="preserve">讲话与4月28日会议留下的鸽鹰分裂呼应。该次会议以6比3的票数将政策利率维持在0.75%，3名持异议者主张直接升至1.0%；若小枝立场公开倾向升息，下一轮会议的鹰派阵营有望成为多数。路透调查的经济学家中三分之二预期6月加息，掉期市场已计入约70%—80%的概率。下一次政策会议定于6月15—16日。</w:t>
      </w:r>
    </w:p>
    <w:p>
      <w:pPr>
        <w:pStyle w:val="BodyText"/>
      </w:pPr>
      <w:r>
        <w:rPr>
          <w:b/>
          <w:bCs/>
        </w:rPr>
        <w:t xml:space="preserve">References</w:t>
      </w:r>
    </w:p>
    <w:p>
      <w:pPr>
        <w:pStyle w:val="BodyText"/>
      </w:pPr>
      <w:r>
        <w:t xml:space="preserve">[4] Bank of Japan. (2026, May 21). Economic Activity, Prices, and Monetary Policy in Japan — Speech by Board Member KOEDA Junko at a Meeting with Business Leaders in Fukuoka. Bank of Japan. https://www.boj.or.jp/en/about/press/koen_2026/ko260521a.htm</w:t>
      </w:r>
      <w:r>
        <w:t xml:space="preserve"> </w:t>
      </w:r>
      <w:r>
        <w:t xml:space="preserve">[5] Reuters. (2026, May 21). BOJ’s Koeda calls for rate hike at appropriate pace. Investing.com. https://www.investing.com/news/economy-news/bojs-koeda-calls-for-rate-hike-at-appropriate-pace-4702910</w:t>
      </w:r>
      <w:r>
        <w:t xml:space="preserve"> </w:t>
      </w:r>
      <w:r>
        <w:t xml:space="preserve">[6] Bloomberg. (2026, May 21). Koeda Says BOJ Should Keep Hiking Rate at Appropriate Pace. Bloomberg. https://www.bloomberg.com/news/articles/2026-05-21/koeda-says-boj-should-keep-hiking-rate-at-appropriate-pace</w:t>
      </w:r>
    </w:p>
    <w:p>
      <w:r>
        <w:pict>
          <v:rect style="width:0;height:1.5pt" o:hralign="center" o:hrstd="t" o:hr="t"/>
        </w:pict>
      </w:r>
    </w:p>
    <w:bookmarkEnd w:id="10"/>
    <w:bookmarkStart w:id="11" w:name="月出口同比14.8大幅超预期半导体出口飙41.6重塑贸易顺差"/>
    <w:p>
      <w:pPr>
        <w:pStyle w:val="Heading3"/>
      </w:pPr>
      <w:r>
        <w:rPr>
          <w:rFonts w:hint="eastAsia"/>
        </w:rPr>
        <w:t xml:space="preserve">4月出口同比14.8%大幅超预期，半导体出口飙41.6%重塑贸易顺差</w:t>
      </w:r>
    </w:p>
    <w:p>
      <w:pPr>
        <w:pStyle w:val="FirstParagraph"/>
      </w:pPr>
      <w:r>
        <w:rPr>
          <w:rFonts w:hint="eastAsia"/>
        </w:rPr>
        <w:t xml:space="preserve">财务省5月21日发布的4月贸易速报显示，日本当月出口同比增长14.8%，远高于路透调查中位数9.3%，为连续第8个月扩张、近三个月最快增速；当月出口总值约10.5073万亿日元（约675亿美元），贸易差额转为3019亿日元（约19亿美元）顺差，市场原本预期297亿日元逆差。这一逆转主要由能源进口骤降与半导体出口飙升共同推动。</w:t>
      </w:r>
    </w:p>
    <w:p>
      <w:pPr>
        <w:pStyle w:val="BodyText"/>
      </w:pPr>
      <w:r>
        <w:rPr>
          <w:rFonts w:hint="eastAsia"/>
        </w:rPr>
        <w:t xml:space="preserve">半导体与集成电路出口同比激增41.6%，反映全球AI基础设施需求的爆发——这是日本制造业本轮周期最显眼的引擎。按行业拆分：电气机械出口上涨28.6%，一般机械上涨12.5%，运输设备上涨6.0%，化工品上涨8.8%，科学与光学仪器上涨18.1%。按目的地：对华出口上涨15.5%，对东盟与欧盟均现扩张；对美出口整体上涨9.5%，但汽车及零部件对美出口同比下跌约8%，反映特朗普关税持续侵蚀这一传统支柱。进口同比9.7%，亦高于预期的8.3%。</w:t>
      </w:r>
    </w:p>
    <w:p>
      <w:pPr>
        <w:pStyle w:val="BodyText"/>
      </w:pPr>
      <w:r>
        <w:rPr>
          <w:rFonts w:hint="eastAsia"/>
        </w:rPr>
        <w:t xml:space="preserve">数据落在中东战事与霍尔木兹海峡封锁的背景之下，原油运输受阻本应推高能源进口账单——但4月数据显示企业已在战事爆发前消耗储备，使能源进口同比反而萎缩，从而托起顺差。同期日银5月20日发布的“实际进出口指数”方法论修订（出口从8组扩至31项、进口扩至28项分类，并对半导体与黄金价格进行精细处理）将自4月数据起生效——半导体出口在新方法下的真实强度有望被更准确还原，亦将影响日银对外需贡献的研判。</w:t>
      </w:r>
    </w:p>
    <w:p>
      <w:pPr>
        <w:pStyle w:val="BodyText"/>
      </w:pPr>
      <w:r>
        <w:rPr>
          <w:b/>
          <w:bCs/>
        </w:rPr>
        <w:t xml:space="preserve">References</w:t>
      </w:r>
    </w:p>
    <w:p>
      <w:pPr>
        <w:pStyle w:val="BodyText"/>
      </w:pPr>
      <w:r>
        <w:t xml:space="preserve">[7] Reuters. (2026, May 21). Japan exports rise 14.8% year/year in April. Investing.com. https://www.investing.com/news/economy-news/japan-exports-rise-148-yearyear-in-april-4702826</w:t>
      </w:r>
      <w:r>
        <w:t xml:space="preserve"> </w:t>
      </w:r>
      <w:r>
        <w:t xml:space="preserve">[8] CNBC. (2026, May 21). Japan’s exports jump on semiconductor demand as imports fall. CNBC. https://www.cnbc.com/2026/05/21/japan-exports-semiconductor-autos-imports-trade.html</w:t>
      </w:r>
      <w:r>
        <w:t xml:space="preserve"> </w:t>
      </w:r>
      <w:r>
        <w:t xml:space="preserve">[9] Bank of Japan. (2026, May 20). Revisions to the “Real Exports and Real Imports” Indices. Bank of Japan. https://www.boj.or.jp/en/research/research_data/reri/reri260520a.htm</w:t>
      </w:r>
    </w:p>
    <w:p>
      <w:r>
        <w:pict>
          <v:rect style="width:0;height:1.5pt" o:hralign="center" o:hrstd="t" o:hr="t"/>
        </w:pict>
      </w:r>
    </w:p>
    <w:bookmarkEnd w:id="11"/>
    <w:bookmarkStart w:id="12" w:name="长债收益率本周连破纪录30年期一度升至4.17叠加财政担忧"/>
    <w:p>
      <w:pPr>
        <w:pStyle w:val="Heading3"/>
      </w:pPr>
      <w:r>
        <w:rPr>
          <w:rFonts w:hint="eastAsia"/>
        </w:rPr>
        <w:t xml:space="preserve">长债收益率本周连破纪录，30年期一度升至4.17%叠加财政担忧</w:t>
      </w:r>
    </w:p>
    <w:p>
      <w:pPr>
        <w:pStyle w:val="FirstParagraph"/>
      </w:pPr>
      <w:r>
        <w:rPr>
          <w:rFonts w:hint="eastAsia"/>
        </w:rPr>
        <w:t xml:space="preserve">本周日本长期国债收益率连破多重多年高位。10年期JGB收益率5月18日触及2.8%——为1996年9月以来近30年高点；30年期一度攀升至4.17%的1999年发行以来最高，40年期亦突破4%。截至5月21日，30年期已小幅回落至4.03%。这一波抛压来自多重叠加的诱因。</w:t>
      </w:r>
    </w:p>
    <w:p>
      <w:pPr>
        <w:pStyle w:val="BodyText"/>
      </w:pPr>
      <w:r>
        <w:rPr>
          <w:rFonts w:hint="eastAsia"/>
        </w:rPr>
        <w:t xml:space="preserve">第一重是基本面信号。日本Q1</w:t>
      </w:r>
      <w:r>
        <w:t xml:space="preserve"> </w:t>
      </w:r>
      <w:r>
        <w:rPr>
          <w:rFonts w:hint="eastAsia"/>
        </w:rPr>
        <w:t xml:space="preserve">2026实际GDP年化增长2.1%，远超预期，强化了日银继续加息的预期；4月企业物价指数同比涨幅创三年最快，叠加4月CPI公布之前的鹰派表态（参见小枝演讲），共同把市场推向“6月加息+下半年再加”的路径。第二重是财政叙事——高市早苗内阁正研拟一份“数万亿日元”规模的补充预算，回应中东冲击带来的能源与生活成本压力，但市场对追加发债的供给冲击高度敏感。第三重是日本国内机构投资者再平衡——保险与养老金本财年加大本币长债配置，外需却同步弱化。</w:t>
      </w:r>
    </w:p>
    <w:p>
      <w:pPr>
        <w:pStyle w:val="BodyText"/>
      </w:pPr>
      <w:r>
        <w:rPr>
          <w:rFonts w:hint="eastAsia"/>
        </w:rPr>
        <w:t xml:space="preserve">宏观结构上的脆弱性是这一波抛售的真正背景。日本债务/GDP比率已超过200%，居发达经济体之首。TD</w:t>
      </w:r>
      <w:r>
        <w:t xml:space="preserve"> </w:t>
      </w:r>
      <w:r>
        <w:rPr>
          <w:rFonts w:hint="eastAsia"/>
        </w:rPr>
        <w:t xml:space="preserve">Economics高级经济学家Vikram</w:t>
      </w:r>
      <w:r>
        <w:t xml:space="preserve"> </w:t>
      </w:r>
      <w:r>
        <w:rPr>
          <w:rFonts w:hint="eastAsia"/>
        </w:rPr>
        <w:t xml:space="preserve">Rai的警告颇具代表性：“这对所有重债国家都是一个警示——一旦财政政策失去公信力，债券市场可以转得很快。”日元当日亦跌至数月低位，反映海外投资者对日本财政与货币组合的双重担忧。下次日银会议（6月15—16日）若证实加息，长端曲线还可能进一步陡峭化。</w:t>
      </w:r>
    </w:p>
    <w:p>
      <w:pPr>
        <w:pStyle w:val="BodyText"/>
      </w:pPr>
      <w:r>
        <w:rPr>
          <w:b/>
          <w:bCs/>
        </w:rPr>
        <w:t xml:space="preserve">References</w:t>
      </w:r>
    </w:p>
    <w:p>
      <w:pPr>
        <w:pStyle w:val="BodyText"/>
      </w:pPr>
      <w:r>
        <w:t xml:space="preserve">[10] Nikkei Asia. (2026, May 18). Japan long-term bond yields hit record highs amid fiscal concerns. Nikkei Asia. https://asia.nikkei.com/business/markets/bonds/japan-long-term-bond-yields-hit-record-highs-amid-fiscal-concerns</w:t>
      </w:r>
      <w:r>
        <w:t xml:space="preserve"> </w:t>
      </w:r>
      <w:r>
        <w:t xml:space="preserve">[11] CNBC. (2026, May 18). Treasury yields, inflation, bond rout, oil. CNBC. https://www.cnbc.com/2026/05/18/treasury-yields-inflation-bond-rout-oil.html</w:t>
      </w:r>
    </w:p>
    <w:p>
      <w:r>
        <w:pict>
          <v:rect style="width:0;height:1.5pt" o:hralign="center" o:hrstd="t" o:hr="t"/>
        </w:pict>
      </w:r>
    </w:p>
    <w:bookmarkEnd w:id="12"/>
    <w:bookmarkEnd w:id="13"/>
    <w:bookmarkStart w:id="15" w:name="二政治与外交"/>
    <w:p>
      <w:pPr>
        <w:pStyle w:val="Heading2"/>
      </w:pPr>
      <w:r>
        <w:rPr>
          <w:rFonts w:hint="eastAsia"/>
        </w:rPr>
        <w:t xml:space="preserve">二、政治与外交</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14" w:name="在野党就补充预算追问首相高市早苗党首辩论聚焦能源补贴可持续性"/>
    <w:p>
      <w:pPr>
        <w:pStyle w:val="Heading3"/>
      </w:pPr>
      <w:r>
        <w:rPr>
          <w:rFonts w:hint="eastAsia"/>
        </w:rPr>
        <w:t xml:space="preserve">在野党就补充预算追问首相高市早苗，党首辩论聚焦能源补贴可持续性</w:t>
      </w:r>
    </w:p>
    <w:p>
      <w:pPr>
        <w:pStyle w:val="FirstParagraph"/>
      </w:pPr>
      <w:r>
        <w:rPr>
          <w:rFonts w:hint="eastAsia"/>
        </w:rPr>
        <w:t xml:space="preserve">第221届国会本周进入补充预算的密集辩论期，由立宪民主党、维新会与国民民主党（DPFP）三家在野党合力就补充预算追问首相高市早苗。本届国会会期从2月18日至7月17日。DPFP党首玉木雄一郎是当前发问主力，他要求政府拨出约3万亿日元（约190亿美元）的补充预算，用于汽油补贴及电力与天然气账单减免。</w:t>
      </w:r>
    </w:p>
    <w:p>
      <w:pPr>
        <w:pStyle w:val="BodyText"/>
      </w:pPr>
      <w:r>
        <w:rPr>
          <w:rFonts w:hint="eastAsia"/>
        </w:rPr>
        <w:t xml:space="preserve">辩论的焦点不在于“是否需要”，而在于“如何兼顾财政可持续性与即时民生纾困”。自民党干事长代行萩生田光一坦承：“维持现行燃料补贴不变……是不可持续的”，暗示补贴需要重新设计而非单纯加码。在野党的总体诉求是直接向家庭与中小企业派发现金；高市内阁则倾向以约1万亿日元的国家应急储备金为底盘，规模偏小。这一分歧的真实约束是债券市场——10年期JGB收益率5月18日已升至2.8%（1996年以来最高），30年期一度4.17%；任何过大的补充预算都可能进一步推高发债压力。</w:t>
      </w:r>
    </w:p>
    <w:p>
      <w:pPr>
        <w:pStyle w:val="BodyText"/>
      </w:pPr>
      <w:r>
        <w:rPr>
          <w:rFonts w:hint="eastAsia"/>
        </w:rPr>
        <w:t xml:space="preserve">财政相片山五月（Satsuki</w:t>
      </w:r>
      <w:r>
        <w:t xml:space="preserve"> </w:t>
      </w:r>
      <w:r>
        <w:rPr>
          <w:rFonts w:hint="eastAsia"/>
        </w:rPr>
        <w:t xml:space="preserve">Katayama）被指定为政府方的协调人。多家媒体观察到，5月17日玉木接受日本时报采访时已直言：“许多人因通胀回潮而陷入困境，我要在党首辩论中直接把这个事实告诉首相。”补充预算预计将在7月17日会期结束前提交国会审议。市场普遍预计，本轮辩论将决定日银6月加息与财政扩张之间能否找到共存路径——这正是本周日本宏观风险溢价的核心。</w:t>
      </w:r>
    </w:p>
    <w:p>
      <w:pPr>
        <w:pStyle w:val="BodyText"/>
      </w:pPr>
      <w:r>
        <w:rPr>
          <w:b/>
          <w:bCs/>
        </w:rPr>
        <w:t xml:space="preserve">References</w:t>
      </w:r>
    </w:p>
    <w:p>
      <w:pPr>
        <w:pStyle w:val="BodyText"/>
      </w:pPr>
      <w:r>
        <w:t xml:space="preserve">[12] Nippon.com. (2026, May 17). Opposition party leaders to grill PM Takaichi on supplementary budget in upcoming Diet debate. Nippon.com. https://www.nippon.com/en/news/yjj2026051600310/</w:t>
      </w:r>
      <w:r>
        <w:t xml:space="preserve"> </w:t>
      </w:r>
      <w:r>
        <w:t xml:space="preserve">[13] The Japan Times. (2026, May 17). Opposition leaders to question Takaichi over delayed extra budget. The Japan Times. https://www.japantimes.co.jp/news/2026/05/17/japan/politics/opposition-question-takaichi-extra-budget/</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pPr>
        <w:pStyle w:val="BodyText"/>
      </w:pPr>
      <w:r>
        <w:rPr>
          <w:rFonts w:hint="eastAsia"/>
        </w:rPr>
        <w:t xml:space="preserve">本周日本科技与产业领域的两项主要进展——Rapidus</w:t>
      </w:r>
      <w:r>
        <w:t xml:space="preserve"> </w:t>
      </w:r>
      <w:r>
        <w:rPr>
          <w:rFonts w:hint="eastAsia"/>
        </w:rPr>
        <w:t xml:space="preserve">2纳米先导线推进与SoftBank在大阪堺市启动锌-卤素电池及AI数据中心业务——分别落于4月14日与5月11日，未通过本报告对“当日发布”的硬性时间门槛。半导体出口的强劲表现（详见经济与市场板块第三条）侧面印证了AI基础设施需求对日本制造业的持续拉动。</w:t>
      </w:r>
    </w:p>
    <w:p>
      <w:r>
        <w:pict>
          <v:rect style="width:0;height:1.5pt" o:hralign="center" o:hrstd="t" o:hr="t"/>
        </w:pict>
      </w:r>
    </w:p>
    <w:bookmarkEnd w:id="16"/>
    <w:bookmarkStart w:id="19"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17" w:name="京都府八幡市市长川田翔子宣布产假35岁现任市长开日本史上先例"/>
    <w:p>
      <w:pPr>
        <w:pStyle w:val="Heading3"/>
      </w:pPr>
      <w:r>
        <w:rPr>
          <w:rFonts w:hint="eastAsia"/>
        </w:rPr>
        <w:t xml:space="preserve">京都府八幡市市长川田翔子宣布产假，35岁现任市长开日本史上先例</w:t>
      </w:r>
    </w:p>
    <w:p>
      <w:pPr>
        <w:pStyle w:val="FirstParagraph"/>
      </w:pPr>
      <w:r>
        <w:rPr>
          <w:rFonts w:hint="eastAsia"/>
        </w:rPr>
        <w:t xml:space="preserve">京都府八幡市市长川田翔子（Shoko</w:t>
      </w:r>
      <w:r>
        <w:t xml:space="preserve"> </w:t>
      </w:r>
      <w:r>
        <w:rPr>
          <w:rFonts w:hint="eastAsia"/>
        </w:rPr>
        <w:t xml:space="preserve">Kawata，35岁）5月21日宣布将休产假——按照八幡市政府对外口径，这是日本现任市长在任内休产假的史上首例。川田是目前日本最年轻的现任市长，2025年12月结婚，预产期为2026年9月中旬。她计划产前请假6—8周，产后8周，合计约16周；产假期间由副市长代行职务，重要市政事项以远程视频方式协调，确保竞选承诺的推进与日常市政不受冲击。</w:t>
      </w:r>
    </w:p>
    <w:p>
      <w:pPr>
        <w:pStyle w:val="BodyText"/>
      </w:pPr>
      <w:r>
        <w:rPr>
          <w:rFonts w:hint="eastAsia"/>
        </w:rPr>
        <w:t xml:space="preserve">这一首例的统计学意义远大于个人。在日本全国1718个基础自治体首长中，绝大多数是男性；女性市长占比长期个位数。川田自己在被问到时坦言：“我自己也很意外，听说这将是市长就任后休产假的首例。”她随即表示：“我正在做安排，避免影响市政与竞选承诺的落实。”这种“自己也很意外”的反应，恰好反映出制度设计与实际公共生活的距离——日本《劳动基准法》早已为女性公务员明确规定产假权利，但从未真正延伸到市长一级。</w:t>
      </w:r>
    </w:p>
    <w:p>
      <w:pPr>
        <w:pStyle w:val="BodyText"/>
      </w:pPr>
      <w:r>
        <w:rPr>
          <w:rFonts w:hint="eastAsia"/>
        </w:rPr>
        <w:t xml:space="preserve">事件落在日本人口结构持续承压的背景下。截至2026年，日本总人口约1.225亿，总和生育率维持在创纪录低位，人口中位年龄已达50.2岁。岸田—高市两届政府将“育儿与工作平衡”列为优先政策方向之一，但具体落地往往受限于政治层级的可见度。一名35岁市长以个人决策树立行政先例，对推动地方议员、府县议员乃至中央内阁层面的同类制度跟进具有示范意义——这是川田个人选择产生的最大溢出效应。</w:t>
      </w:r>
    </w:p>
    <w:p>
      <w:pPr>
        <w:pStyle w:val="BodyText"/>
      </w:pPr>
      <w:r>
        <w:rPr>
          <w:b/>
          <w:bCs/>
        </w:rPr>
        <w:t xml:space="preserve">References</w:t>
      </w:r>
    </w:p>
    <w:p>
      <w:pPr>
        <w:pStyle w:val="BodyText"/>
      </w:pPr>
      <w:r>
        <w:t xml:space="preserve">[14] Nippon.com. (2026, May 21). Yawata city mayor to take maternity leave, a first for a sitting Japan mayor. Nippon.com. https://www.nippon.com/en/news/yjj2026052100684/</w:t>
      </w:r>
    </w:p>
    <w:p>
      <w:r>
        <w:pict>
          <v:rect style="width:0;height:1.5pt" o:hralign="center" o:hrstd="t" o:hr="t"/>
        </w:pict>
      </w:r>
    </w:p>
    <w:bookmarkEnd w:id="17"/>
    <w:bookmarkStart w:id="18" w:name="numo启动南鸟岛地质文献调查首次将远海无人岛纳入高放废料处置候选"/>
    <w:p>
      <w:pPr>
        <w:pStyle w:val="Heading3"/>
      </w:pPr>
      <w:r>
        <w:rPr>
          <w:rFonts w:hint="eastAsia"/>
        </w:rPr>
        <w:t xml:space="preserve">NUMO启动南鸟岛地质文献调查，首次将远海无人岛纳入高放废料处置候选</w:t>
      </w:r>
    </w:p>
    <w:p>
      <w:pPr>
        <w:pStyle w:val="FirstParagraph"/>
      </w:pPr>
      <w:r>
        <w:rPr>
          <w:rFonts w:hint="eastAsia"/>
        </w:rPr>
        <w:t xml:space="preserve">日本核能发电环境整备机构（NUMO）启动了对南鸟岛地质条件的科学文献调查——这是日本高放射性废料地下处置选址流程中的第一阶段。南鸟岛位于东京东南约2000公里、是日本最东端的领土，整座岛屿为一座海底火山顶端露出水面的珊瑚环礁，无常住人口。文献调查若通过，则进入地表调查、最终钻孔验证两个阶段；每一阶段都需数年时间，整体选址流程预计跨越数十年。</w:t>
      </w:r>
    </w:p>
    <w:p>
      <w:pPr>
        <w:pStyle w:val="BodyText"/>
      </w:pPr>
      <w:r>
        <w:rPr>
          <w:rFonts w:hint="eastAsia"/>
        </w:rPr>
        <w:t xml:space="preserve">南鸟岛具备一组罕见的优势条件。它位于太平洋板块腹地，远离板块边界，岛屿主体由数千万至1亿年前形成的海底火山构成；调查初步认为该岛并无显著活断层，地质稳定性优于多数本土候选场址。日本监管框架要求高放废料地下封存至少300米以下、保持隔离最长达10万年——南鸟岛的远海属性与地质年龄使其在“长期稳定性”维度具备先天优势。</w:t>
      </w:r>
    </w:p>
    <w:p>
      <w:pPr>
        <w:pStyle w:val="BodyText"/>
      </w:pPr>
      <w:r>
        <w:rPr>
          <w:rFonts w:hint="eastAsia"/>
        </w:rPr>
        <w:t xml:space="preserve">但挑战同样突出。岛屿地表海拔最高约9米，10万年的封存时限内海平面上升与风暴潮叠加构成实质风险；浅层岩体以多孔石灰岩为主，地下水屏蔽能力有限；近年研究亦确认在距岛屿约46公里处存在一片“小型海底火山场”，由海洋板块下弯应力造成，过去300万年内仍有活动。南鸟岛同时被列为深海稀土开采的候选区域，多重国家级利益叠加将使NUMO的后续调查处在政治与产业关注的交叉口。</w:t>
      </w:r>
    </w:p>
    <w:p>
      <w:pPr>
        <w:pStyle w:val="BodyText"/>
      </w:pPr>
      <w:r>
        <w:rPr>
          <w:b/>
          <w:bCs/>
        </w:rPr>
        <w:t xml:space="preserve">References</w:t>
      </w:r>
    </w:p>
    <w:p>
      <w:pPr>
        <w:pStyle w:val="BodyText"/>
      </w:pPr>
      <w:r>
        <w:t xml:space="preserve">[15] The Japan Times. (2026, May 21). NUMO launches literature review on Minamitorishima as nuclear waste disposal candidate. The Japan Times. https://www.japantimes.co.jp/news/2026/05/21/japan/society/minamitorishima-nuclear-waste/</w:t>
      </w:r>
    </w:p>
    <w:p>
      <w:r>
        <w:pict>
          <v:rect style="width:0;height:1.5pt" o:hralign="center" o:hrstd="t" o:hr="t"/>
        </w:pict>
      </w:r>
    </w:p>
    <w:bookmarkEnd w:id="18"/>
    <w:bookmarkEnd w:id="19"/>
    <w:bookmarkStart w:id="20"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pPr>
        <w:pStyle w:val="BodyText"/>
      </w:pPr>
      <w:r>
        <w:rPr>
          <w:rFonts w:hint="eastAsia"/>
        </w:rPr>
        <w:t xml:space="preserve">本周日本企业IPO/并购领域的核心交易——爱知金融集团与三十三金融集团5月13—14日签署的合并基本协议（合并后总资产约11.6万亿日元、约740亿美元）——其首次披露日为5月13日，未通过本报告对“当日发布”的硬性时间门槛。该交易已进入FSA监管审批通道，预计2027年4月1日正式生效；与之并行的日本区域银行整合潮（5月1日生效的FIEA修订把强制要约门槛从1/3降至30%）正在重塑中部地区的金融业格局。</w:t>
      </w:r>
    </w:p>
    <w:p>
      <w:r>
        <w:pict>
          <v:rect style="width:0;height:1.5pt" o:hralign="center" o:hrstd="t" o:hr="t"/>
        </w:pict>
      </w:r>
    </w:p>
    <w:bookmarkEnd w:id="20"/>
    <w:bookmarkStart w:id="22"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1" w:name="月22日东京大相撲夏场所第13日姫路城祭与神田祭歌舞表演并行"/>
    <w:p>
      <w:pPr>
        <w:pStyle w:val="Heading3"/>
      </w:pPr>
      <w:r>
        <w:rPr>
          <w:rFonts w:hint="eastAsia"/>
        </w:rPr>
        <w:t xml:space="preserve">5月22日东京：大相撲夏场所第13日、姫路城祭与神田祭歌舞表演并行</w:t>
      </w:r>
    </w:p>
    <w:p>
      <w:pPr>
        <w:pStyle w:val="FirstParagraph"/>
      </w:pPr>
      <w:r>
        <w:rPr>
          <w:rFonts w:hint="eastAsia"/>
        </w:rPr>
        <w:t xml:space="preserve">5月22日日本三场代表性活动同步举行。第一是大相撲夏场所（Natsu</w:t>
      </w:r>
      <w:r>
        <w:t xml:space="preserve"> </w:t>
      </w:r>
      <w:r>
        <w:rPr>
          <w:rFonts w:hint="eastAsia"/>
        </w:rPr>
        <w:t xml:space="preserve">Basho）——日本年度六场本场所之一，自5月10日开幕、24日结束，5月22日为第13日；东前頭15枚目Andrasoyama进入第13日时以12胜战绩居首，距离优胜仅一步之遥，使本场所最后两天的“千秋乐”竞争比预期更激烈。第二是第76届姫路城祭（兵库县）5月22日开幕，持续至5月24日，是兵库县春季最大规模的文化活动之一，国宝级世界遗产的开放性活动与城下町的传统行进表演为关西旅游季打响下半场。</w:t>
      </w:r>
    </w:p>
    <w:p>
      <w:pPr>
        <w:pStyle w:val="BodyText"/>
      </w:pPr>
      <w:r>
        <w:rPr>
          <w:rFonts w:hint="eastAsia"/>
        </w:rPr>
        <w:t xml:space="preserve">同期金融市场亦受到4月CPI软读的明显提振——亚太市场普涨：日经225指数收涨逾2%，恒生指数+0.8%，沪深300指数小幅上扬约0.2%；美元/日元区间运行，市场在美国阵亡将士纪念日长周末前显著降低风险敞口。InvestingLive的市场综述指出，分析师对“低于预期的通胀”普遍维持“不会推迟日银6月加息”的判断——这与早间小枝演讲提出的“以适当节奏”加息基调相互印证。</w:t>
      </w:r>
    </w:p>
    <w:p>
      <w:pPr>
        <w:pStyle w:val="BodyText"/>
      </w:pPr>
      <w:r>
        <w:rPr>
          <w:rFonts w:hint="eastAsia"/>
        </w:rPr>
        <w:t xml:space="preserve">第三是东京文化层面的并行：5月22—25日，新桥演舞场上演“东京歌舞会”——东京艺伎社团的年度公演传统；同周5月20—22日东京Big</w:t>
      </w:r>
      <w:r>
        <w:t xml:space="preserve"> </w:t>
      </w:r>
      <w:r>
        <w:rPr>
          <w:rFonts w:hint="eastAsia"/>
        </w:rPr>
        <w:t xml:space="preserve">Sight闭幕的环保废物处理与回收技术展，构成本周“经济+文化+科技”的交叠节奏。市场、政策与文化三轨在同一日并行，是日本进入夏季前夕典型的城市图景。</w:t>
      </w:r>
    </w:p>
    <w:p>
      <w:pPr>
        <w:pStyle w:val="BodyText"/>
      </w:pPr>
      <w:r>
        <w:rPr>
          <w:b/>
          <w:bCs/>
        </w:rPr>
        <w:t xml:space="preserve">References</w:t>
      </w:r>
    </w:p>
    <w:p>
      <w:pPr>
        <w:pStyle w:val="BodyText"/>
      </w:pPr>
      <w:r>
        <w:t xml:space="preserve">[16] InvestingLive. (2026, May 22). Asia-Pacific FX news wrap: markets climb, Japan CPI hits four-year low. InvestingLive. https://investinglive.com/news/investinglive-asia-pacific-fx-news-wrap-asia-markets-climb-japan-cpi-hits-four-year-low-20260522/</w:t>
      </w:r>
      <w:r>
        <w:t xml:space="preserve"> </w:t>
      </w:r>
      <w:r>
        <w:t xml:space="preserve">[17] Japan Sumo Association. (2026, May 22). May Grand Sumo Tournament — Natsu Basho 2026 schedule and Day 13 standings. Nihon Sumo Kyokai. https://www.sumo.or.jp/En/</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2026-05-22T10:14:43Z</dcterms:created>
  <dcterms:modified xsi:type="dcterms:W3CDTF">2026-05-22T10:14:43Z</dcterms:modified>
</cp:coreProperties>
</file>

<file path=docProps/custom.xml><?xml version="1.0" encoding="utf-8"?>
<Properties xmlns="http://schemas.openxmlformats.org/officeDocument/2006/custom-properties" xmlns:vt="http://schemas.openxmlformats.org/officeDocument/2006/docPropsVTypes"/>
</file>