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中国每日热点新闻-2026年7月2日"/>
    <w:p>
      <w:pPr>
        <w:pStyle w:val="Heading1"/>
      </w:pPr>
      <w:r>
        <w:rPr>
          <w:rFonts w:hint="eastAsia"/>
        </w:rPr>
        <w:t xml:space="preserve">中国每日热点新闻</w:t>
      </w:r>
      <w:r>
        <w:t xml:space="preserve"> — </w:t>
      </w:r>
      <w:r>
        <w:rPr>
          <w:rFonts w:hint="eastAsia"/>
        </w:rPr>
        <w:t xml:space="preserve">2026年7月2日</w:t>
      </w:r>
    </w:p>
    <w:bookmarkStart w:id="10" w:name="一经济与市场"/>
    <w:p>
      <w:pPr>
        <w:pStyle w:val="Heading2"/>
      </w:pPr>
      <w:r>
        <w:rPr>
          <w:rFonts w:hint="eastAsia"/>
        </w:rPr>
        <w:t xml:space="preserve">一、经济与市场</w:t>
      </w:r>
    </w:p>
    <w:bookmarkStart w:id="9" w:name="中欧磋商机制拟今秋在华举行第二次部长级会议"/>
    <w:p>
      <w:pPr>
        <w:pStyle w:val="Heading3"/>
      </w:pPr>
      <w:r>
        <w:rPr>
          <w:rFonts w:hint="eastAsia"/>
        </w:rPr>
        <w:t xml:space="preserve">中欧磋商机制拟今秋在华举行第二次部长级会议</w:t>
      </w:r>
    </w:p>
    <w:p>
      <w:pPr>
        <w:pStyle w:val="FirstParagraph"/>
      </w:pPr>
      <w:r>
        <w:rPr>
          <w:rFonts w:hint="eastAsia"/>
        </w:rPr>
        <w:t xml:space="preserve">中国商务部新闻发言人何亚东7月2日表示，中欧双方已同意每年举行一至两次中欧贸易和投资磋商机制的部长级会议，中方已邀请欧盟贸易主管今秋访华，举行该机制的第二次会议。欧方表示，希望在今年10月前就相关议题取得实质性成果。</w:t>
      </w:r>
    </w:p>
    <w:p>
      <w:pPr>
        <w:pStyle w:val="BodyText"/>
      </w:pPr>
      <w:r>
        <w:rPr>
          <w:rFonts w:hint="eastAsia"/>
        </w:rPr>
        <w:t xml:space="preserve">该机制于6月29日在布鲁塞尔举行首次会议时正式启动，由中国商务部部长王文涛与欧盟贸易与经济安全委员马罗什·谢夫乔维奇（Maros</w:t>
      </w:r>
      <w:r>
        <w:t xml:space="preserve"> </w:t>
      </w:r>
      <w:r>
        <w:rPr>
          <w:rFonts w:hint="eastAsia"/>
        </w:rPr>
        <w:t xml:space="preserve">Sefcovic）共同主持。双方商定围绕四条工作线推进：贸易与投资再平衡、出口管制、知识产权、世贸组织改革，并同意建立联合监测机制。</w:t>
      </w:r>
    </w:p>
    <w:p>
      <w:pPr>
        <w:pStyle w:val="BodyText"/>
      </w:pPr>
      <w:r>
        <w:rPr>
          <w:rFonts w:hint="eastAsia"/>
        </w:rPr>
        <w:t xml:space="preserve">机制诞生的背景是双边贸易失衡持续扩大。2026年第一季度，欧盟对华货物贸易逆差达980亿欧元，为2022年第三季度以来最高。这一数字驱动了此番对话——欧方希望通过谈判而非关税化解摩擦，而中方则借机制稳定对欧经贸关系。首次会议上，双方交换了各自的市场准入问题清单，并同意在再平衡工作线下继续磋商，力争在具体议题上取得进展。</w:t>
      </w:r>
    </w:p>
    <w:p>
      <w:pPr>
        <w:pStyle w:val="BodyText"/>
      </w:pPr>
      <w:r>
        <w:rPr>
          <w:b/>
          <w:bCs/>
        </w:rPr>
        <w:t xml:space="preserve">References</w:t>
      </w:r>
    </w:p>
    <w:p>
      <w:pPr>
        <w:pStyle w:val="BodyText"/>
      </w:pPr>
      <w:r>
        <w:t xml:space="preserve">[1] Reuters. (2026, July 2). China, EU to hold second trade and investment consultation mechanism meeting this autumn. Reuters. https://uk.finance.yahoo.com/news/china-eu-second-trade-investment-072459865.html</w:t>
      </w:r>
      <w:r>
        <w:t xml:space="preserve"> </w:t>
      </w:r>
      <w:r>
        <w:t xml:space="preserve">[2] Global Times. (2026, June 30). China, EU launch trade consultation mechanism; devt injects hopes but frictions may persist if Brussels shifts blame: expert. Global Times. https://www.globaltimes.cn/page/202606/1364765.shtml</w:t>
      </w:r>
      <w:r>
        <w:t xml:space="preserve"> </w:t>
      </w:r>
      <w:r>
        <w:t xml:space="preserve">[3] Manila Times. (2026, July 1). China, EU launch trade and investment consultation mechanism. Manila Times. https://www.manilatimes.net/2026/07/01/business/foreign-business/china-eu-launch-trade-and-investment-consultation-mechanism/2376072</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3" w:name="二政治与外交"/>
    <w:p>
      <w:pPr>
        <w:pStyle w:val="Heading2"/>
      </w:pPr>
      <w:r>
        <w:rPr>
          <w:rFonts w:hint="eastAsia"/>
        </w:rPr>
        <w:t xml:space="preserve">二、政治与外交</w:t>
      </w:r>
    </w:p>
    <w:bookmarkStart w:id="11" w:name="王毅同鲁比奥通话敦促美方审慎处理台湾问题"/>
    <w:p>
      <w:pPr>
        <w:pStyle w:val="Heading3"/>
      </w:pPr>
      <w:r>
        <w:rPr>
          <w:rFonts w:hint="eastAsia"/>
        </w:rPr>
        <w:t xml:space="preserve">王毅同鲁比奥通话，敦促美方审慎处理台湾问题</w:t>
      </w:r>
    </w:p>
    <w:p>
      <w:pPr>
        <w:pStyle w:val="FirstParagraph"/>
      </w:pPr>
      <w:r>
        <w:rPr>
          <w:rFonts w:hint="eastAsia"/>
        </w:rPr>
        <w:t xml:space="preserve">中国外交部长王毅在与美国国务卿鲁比奥（Marco</w:t>
      </w:r>
      <w:r>
        <w:t xml:space="preserve"> </w:t>
      </w:r>
      <w:r>
        <w:rPr>
          <w:rFonts w:hint="eastAsia"/>
        </w:rPr>
        <w:t xml:space="preserve">Rubio）通话时，敦促美方以“最大的审慎”处理台湾问题，并称“台湾问题上稍有闪失，就可能牵动全局”。这是自特朗普5月中旬访华以来，中美两国首次公开的内阁级别沟通。</w:t>
      </w:r>
    </w:p>
    <w:p>
      <w:pPr>
        <w:pStyle w:val="BodyText"/>
      </w:pPr>
      <w:r>
        <w:rPr>
          <w:rFonts w:hint="eastAsia"/>
        </w:rPr>
        <w:t xml:space="preserve">王毅表示，中美应坚持构建“建设性、战略稳定的关系”，呼吁双方“排除干扰、克服障碍”。他重申，今年5月习近平主席在北京与特朗普会晤时达成的共识，为未来一段时期的双边关系定下了方向。当时习近平曾警告特朗普，若在台湾问题上处理失当，可能将两国关系推向“极其危险的境地”。中方将此次通话定性为“积极、建设性的”。</w:t>
      </w:r>
    </w:p>
    <w:p>
      <w:pPr>
        <w:pStyle w:val="BodyText"/>
      </w:pPr>
      <w:r>
        <w:rPr>
          <w:rFonts w:hint="eastAsia"/>
        </w:rPr>
        <w:t xml:space="preserve">台湾问题近月来持续被北京定位为中美关系中最大的风险点。</w:t>
      </w:r>
    </w:p>
    <w:p>
      <w:pPr>
        <w:pStyle w:val="BodyText"/>
      </w:pPr>
      <w:r>
        <w:rPr>
          <w:b/>
          <w:bCs/>
        </w:rPr>
        <w:t xml:space="preserve">References</w:t>
      </w:r>
    </w:p>
    <w:p>
      <w:pPr>
        <w:pStyle w:val="BodyText"/>
      </w:pPr>
      <w:r>
        <w:t xml:space="preserve">[4] Reuters. (2026, July 2). China urges US to handle Taiwan issue with utmost caution after Wang Yi-Rubio call. Nikkei Asia. https://asia.nikkei.com/politics/international-relations/china-urges-us-to-handle-taiwan-issue-with-utmost-caution</w:t>
      </w:r>
      <w:r>
        <w:t xml:space="preserve"> </w:t>
      </w:r>
      <w:r>
        <w:t xml:space="preserve">[5] Dimsum Daily. (2026, July 2). Wang Yi urges U.S. to handle Taiwan issue with caution in call with Rubio. Dimsum Daily. https://www.dimsumdaily.hk/wang-yi-urges-u-s-to-handle-taiwan-issue-with-caution-in-call-with-rubio/</w:t>
      </w:r>
      <w:r>
        <w:t xml:space="preserve"> </w:t>
      </w:r>
      <w:r>
        <w:t xml:space="preserve">[6] South China Morning Post. (2026, July 2). China’s Wang Yi warns Marco Rubio to approach Taiwan affairs with</w:t>
      </w:r>
      <w:r>
        <w:t xml:space="preserve"> </w:t>
      </w:r>
      <w:r>
        <w:t xml:space="preserve">‘utmost caution’</w:t>
      </w:r>
      <w:r>
        <w:t xml:space="preserve">. South China Morning Post. https://www.scmp.com/news/china/diplomacy/article/3359077/chinas-wang-yi-warns-marco-rubio-approach-taiwan-affairs-utmost-caution</w:t>
      </w:r>
    </w:p>
    <w:p>
      <w:r>
        <w:pict>
          <v:rect style="width:0;height:1.5pt" o:hralign="center" o:hrstd="t" o:hr="t"/>
        </w:pict>
      </w:r>
    </w:p>
    <w:bookmarkEnd w:id="11"/>
    <w:bookmarkStart w:id="12" w:name="香港回归29周年李家超在关键之年加深向习近平靠拢"/>
    <w:p>
      <w:pPr>
        <w:pStyle w:val="Heading3"/>
      </w:pPr>
      <w:r>
        <w:rPr>
          <w:rFonts w:hint="eastAsia"/>
        </w:rPr>
        <w:t xml:space="preserve">香港回归29周年，李家超在关键之年加深向习近平靠拢</w:t>
      </w:r>
    </w:p>
    <w:p>
      <w:pPr>
        <w:pStyle w:val="FirstParagraph"/>
      </w:pPr>
      <w:r>
        <w:rPr>
          <w:rFonts w:hint="eastAsia"/>
        </w:rPr>
        <w:t xml:space="preserve">香港特首李家超在自身政治前途的关键一年，正加深与习近平主席的路线一致。在7月1日纪念香港自英国回归中国29周年的仪式上，李家超着力凸显香港特区成立与中共成立周年之间的象征性关联。国务院港澳办主任夏宝龙对特区政府的施政表现表示支持。</w:t>
      </w:r>
    </w:p>
    <w:p>
      <w:pPr>
        <w:pStyle w:val="BodyText"/>
      </w:pPr>
      <w:r>
        <w:rPr>
          <w:rFonts w:hint="eastAsia"/>
        </w:rPr>
        <w:t xml:space="preserve">李家超宣布，把北部都会区科创枢纽的建设与制定香港首份五年规划列为施政的首要任务。这份五年规划是香港首次与国家发展蓝图对接的规划，勾勒香港在2026至2030年间的整体方向，计划于今年第三季度公布，公众咨询已经启动。</w:t>
      </w:r>
    </w:p>
    <w:p>
      <w:pPr>
        <w:pStyle w:val="BodyText"/>
      </w:pPr>
      <w:r>
        <w:rPr>
          <w:rFonts w:hint="eastAsia"/>
        </w:rPr>
        <w:t xml:space="preserve">这一切发生在下任特首选举预期于2027年举行之际。围绕李家超是否谋求第二个任期，外界猜测不断，而他本人迄今对连任问题态度含糊，多次回避有关政治前途的提问。他此前曾公开将中国共产党视为香港繁荣的根本保障。</w:t>
      </w:r>
    </w:p>
    <w:p>
      <w:pPr>
        <w:pStyle w:val="BodyText"/>
      </w:pPr>
      <w:r>
        <w:rPr>
          <w:b/>
          <w:bCs/>
        </w:rPr>
        <w:t xml:space="preserve">References</w:t>
      </w:r>
    </w:p>
    <w:p>
      <w:pPr>
        <w:pStyle w:val="BodyText"/>
      </w:pPr>
      <w:r>
        <w:t xml:space="preserve">[7] Kawase, K. (2026, July 2). Hong Kong’s John Lee tightens embrace of Xi in pivotal year for himself. Nikkei Asia. https://asia.nikkei.com/politics/hong-kong-s-john-lee-tightens-embrace-of-xi-in-pivotal-year-for-himself</w:t>
      </w:r>
      <w:r>
        <w:t xml:space="preserve"> </w:t>
      </w:r>
      <w:r>
        <w:t xml:space="preserve">[8] Hong Kong Free Press. (2026, July 1). July 1: Leader John Lee to prioritise Northern Metropolis and 5-year plan, as fallen firefighter among honourees. Hong Kong Free Press. https://hongkongfp.com/2026/07/01/july-1-leader-john-lee-to-prioritise-northern-metropolis-and-5-year-plan-as-fallen-firefighter-among-honourees/</w:t>
      </w:r>
      <w:r>
        <w:t xml:space="preserve"> </w:t>
      </w:r>
      <w:r>
        <w:t xml:space="preserve">[9] Bloomberg. (2026, June 15). Hong Kong Chief Executive John Lee noncommittal on 2027 re-election bid. Bloomberg. https://www.bloomberg.com/news/articles/2026-06-15/hong-kong-leader-says-he-s-yet-to-consider-possible-second-term</w:t>
      </w:r>
    </w:p>
    <w:p>
      <w:r>
        <w:pict>
          <v:rect style="width:0;height:1.5pt" o:hralign="center" o:hrstd="t" o:hr="t"/>
        </w:pict>
      </w:r>
    </w:p>
    <w:bookmarkEnd w:id="12"/>
    <w:bookmarkEnd w:id="13"/>
    <w:bookmarkStart w:id="15" w:name="三科技与产业"/>
    <w:p>
      <w:pPr>
        <w:pStyle w:val="Heading2"/>
      </w:pPr>
      <w:r>
        <w:rPr>
          <w:rFonts w:hint="eastAsia"/>
        </w:rPr>
        <w:t xml:space="preserve">三、科技与产业</w:t>
      </w:r>
    </w:p>
    <w:bookmarkStart w:id="14" w:name="多晶硅整合合资公司启动数月仍陷停摆反垄断成拦路石"/>
    <w:p>
      <w:pPr>
        <w:pStyle w:val="Heading3"/>
      </w:pPr>
      <w:r>
        <w:rPr>
          <w:rFonts w:hint="eastAsia"/>
        </w:rPr>
        <w:t xml:space="preserve">多晶硅整合合资公司启动数月仍陷停摆，反垄断成拦路石</w:t>
      </w:r>
    </w:p>
    <w:p>
      <w:pPr>
        <w:pStyle w:val="FirstParagraph"/>
      </w:pPr>
      <w:r>
        <w:rPr>
          <w:rFonts w:hint="eastAsia"/>
        </w:rPr>
        <w:t xml:space="preserve">一家旨在整合中国多晶硅产能的合资公司，因反垄断顾虑而搁浅，启动数月后依然按兵不动。中国供应商掌控着全球约95%的多晶硅产能，而通威、协鑫（GCL）、大全（Daqo）、新特（Xinte）、东方希望（East</w:t>
      </w:r>
      <w:r>
        <w:t xml:space="preserve"> </w:t>
      </w:r>
      <w:r>
        <w:rPr>
          <w:rFonts w:hint="eastAsia"/>
        </w:rPr>
        <w:t xml:space="preserve">Hope）和亚洲硅业（Asia</w:t>
      </w:r>
      <w:r>
        <w:t xml:space="preserve"> </w:t>
      </w:r>
      <w:r>
        <w:rPr>
          <w:rFonts w:hint="eastAsia"/>
        </w:rPr>
        <w:t xml:space="preserve">Silicon）这六家中国最大的多晶硅生产商，曾提议筹资约500亿元人民币（约70亿美元），收购并关停全国约三分之一的多晶硅产能，以推动价格回升。</w:t>
      </w:r>
    </w:p>
    <w:p>
      <w:pPr>
        <w:pStyle w:val="BodyText"/>
      </w:pPr>
      <w:r>
        <w:rPr>
          <w:rFonts w:hint="eastAsia"/>
        </w:rPr>
        <w:t xml:space="preserve">计划遇阻的关键在于监管。国家市场监督管理总局（SAMR）对可能的反竞争行为提出关切，认定这套“自律”定价机制构成价格协调。此后，六大企业被要求在两周内提交整改方案，并被明令停止协同，合资公司自此陷入停摆。</w:t>
      </w:r>
    </w:p>
    <w:p>
      <w:pPr>
        <w:pStyle w:val="BodyText"/>
      </w:pPr>
      <w:r>
        <w:rPr>
          <w:rFonts w:hint="eastAsia"/>
        </w:rPr>
        <w:t xml:space="preserve">这场整合的动因是行业深度过剩。自2023年以来，多晶硅价格已下跌逾八成，全球产能利用率一度低至50%至60%，2025年上市光伏企业普遍陷入大额亏损。行业出清仍在继续——组件价格预计将在2026年下半年跌至每瓦0.12美元。</w:t>
      </w:r>
    </w:p>
    <w:p>
      <w:pPr>
        <w:pStyle w:val="BodyText"/>
      </w:pPr>
      <w:r>
        <w:rPr>
          <w:b/>
          <w:bCs/>
        </w:rPr>
        <w:t xml:space="preserve">References</w:t>
      </w:r>
    </w:p>
    <w:p>
      <w:pPr>
        <w:pStyle w:val="BodyText"/>
      </w:pPr>
      <w:r>
        <w:t xml:space="preserve">[10] Fujimura, K. (2026, July 2). China solar panel material JV remains dormant months after launch. Nikkei Asia. https://asia.nikkei.com/business/energy/china-solar-panel-material-jv-remains-dormant-months-after-launch</w:t>
      </w:r>
      <w:r>
        <w:t xml:space="preserve"> </w:t>
      </w:r>
      <w:r>
        <w:t xml:space="preserve">[11] CSIS. (2026). China’s solar industry is in upheaval—the effects will be global. Center for Strategic and International Studies. https://www.csis.org/analysis/chinas-solar-industry-upheaval-effects-will-be-global</w:t>
      </w:r>
      <w:r>
        <w:t xml:space="preserve"> </w:t>
      </w:r>
      <w:r>
        <w:t xml:space="preserve">[12] pv-tech. (2026). Daqo New Energy cuts losses and revenues in 2025 as polysilicon sector shifts. pv-tech. https://www.pv-tech.org/daqo-new-energy-cuts-losses-and-revenues-in-2025-as-polysilicon-sector-shifts/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4"/>
    <w:bookmarkEnd w:id="15"/>
    <w:bookmarkStart w:id="17" w:name="四社会与民生"/>
    <w:p>
      <w:pPr>
        <w:pStyle w:val="Heading2"/>
      </w:pPr>
      <w:r>
        <w:rPr>
          <w:rFonts w:hint="eastAsia"/>
        </w:rPr>
        <w:t xml:space="preserve">四、社会与民生</w:t>
      </w:r>
    </w:p>
    <w:bookmarkStart w:id="16" w:name="中国新版民族团结法生效效力延伸至境外"/>
    <w:p>
      <w:pPr>
        <w:pStyle w:val="Heading3"/>
      </w:pPr>
      <w:r>
        <w:rPr>
          <w:rFonts w:hint="eastAsia"/>
        </w:rPr>
        <w:t xml:space="preserve">中国新版民族团结法生效，效力延伸至境外</w:t>
      </w:r>
    </w:p>
    <w:p>
      <w:pPr>
        <w:pStyle w:val="FirstParagraph"/>
      </w:pPr>
      <w:r>
        <w:rPr>
          <w:rFonts w:hint="eastAsia"/>
        </w:rPr>
        <w:t xml:space="preserve">中国《民族团结进步促进法》于7月2日正式生效，其中第63条允许中国对身处中国大陆以外、“破坏民族团结进步或制造民族分裂”的外国实体和个人追究法律责任。该法于2026年3月通过。</w:t>
      </w:r>
    </w:p>
    <w:p>
      <w:pPr>
        <w:pStyle w:val="BodyText"/>
      </w:pPr>
      <w:r>
        <w:rPr>
          <w:rFonts w:hint="eastAsia"/>
        </w:rPr>
        <w:t xml:space="preserve">这一“域外适用”条款引发国际批评。国际特赦组织（Amnesty</w:t>
      </w:r>
      <w:r>
        <w:t xml:space="preserve"> </w:t>
      </w:r>
      <w:r>
        <w:rPr>
          <w:rFonts w:hint="eastAsia"/>
        </w:rPr>
        <w:t xml:space="preserve">International）副区域主任莎拉·布鲁克斯（Sarah</w:t>
      </w:r>
      <w:r>
        <w:t xml:space="preserve"> </w:t>
      </w:r>
      <w:r>
        <w:rPr>
          <w:rFonts w:hint="eastAsia"/>
        </w:rPr>
        <w:t xml:space="preserve">Brooks）警告称，“任何人、在任何地方为中国少数民族权利进行的和平倡导，都可能被认定为破坏‘民族团结’”。中国政府发言人周建设则为第63条辩护，称其是一项“正当、合法、必要且可行的法律条款”。</w:t>
      </w:r>
    </w:p>
    <w:p>
      <w:pPr>
        <w:pStyle w:val="BodyText"/>
      </w:pPr>
      <w:r>
        <w:rPr>
          <w:rFonts w:hint="eastAsia"/>
        </w:rPr>
        <w:t xml:space="preserve">联合国少数群体权利与文化权利问题特别报告员此前警告，该法“可能对包括藏族、维吾尔族和蒙古族在内的各族群的语言、文化和宗教自主权产生严重影响”。台湾地区领导人赖清德（William</w:t>
      </w:r>
      <w:r>
        <w:t xml:space="preserve"> Lai </w:t>
      </w:r>
      <w:r>
        <w:rPr>
          <w:rFonts w:hint="eastAsia"/>
        </w:rPr>
        <w:t xml:space="preserve">Ching-te）呼吁民众保持警惕。该法还规定以普通话作为教育的主要媒介，并推动汉族与其他民族之间的通婚。海外藏人、维吾尔人及香港活动人士认为，域外适用条款将令他们本已面临的风险显著上升。</w:t>
      </w:r>
    </w:p>
    <w:p>
      <w:pPr>
        <w:pStyle w:val="BodyText"/>
      </w:pPr>
      <w:r>
        <w:rPr>
          <w:b/>
          <w:bCs/>
        </w:rPr>
        <w:t xml:space="preserve">References</w:t>
      </w:r>
    </w:p>
    <w:p>
      <w:pPr>
        <w:pStyle w:val="BodyText"/>
      </w:pPr>
      <w:r>
        <w:t xml:space="preserve">[13] Hale, E. (2026, July 2). China’s new ethnic unity law extends its legal reach overseas. Al Jazeera. https://www.aljazeera.com/news/2026/7/2/chinas-new-ethnic-unity-law-extends-its-legal-reach-overseas</w:t>
      </w:r>
      <w:r>
        <w:t xml:space="preserve"> </w:t>
      </w:r>
      <w:r>
        <w:t xml:space="preserve">[14] CNN. (2026, July 1). China’s new ethnic unity law. CNN. https://www.cnn.com/2026/07/01/china/china-ethnic-unity-law-intl-hnk</w:t>
      </w:r>
      <w:r>
        <w:t xml:space="preserve"> </w:t>
      </w:r>
      <w:r>
        <w:t xml:space="preserve">[15] Amnesty International. (2026, June). China: New ethnic unity law set to entrench assimilation of minority groups. Amnesty International. https://www.amnesty.org/en/latest/news/2026/06/china-new-ethnic-unity-law-set-to-entrench-assimilation-of-minority-groups/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6"/>
    <w:bookmarkEnd w:id="17"/>
    <w:bookmarkStart w:id="20" w:name="五海外涉华财经"/>
    <w:p>
      <w:pPr>
        <w:pStyle w:val="Heading2"/>
      </w:pPr>
      <w:r>
        <w:rPr>
          <w:rFonts w:hint="eastAsia"/>
        </w:rPr>
        <w:t xml:space="preserve">五、海外涉华财经</w:t>
      </w:r>
    </w:p>
    <w:bookmarkStart w:id="18" w:name="欧盟对华逆差扩至980亿欧元双边贸易战风险升温"/>
    <w:p>
      <w:pPr>
        <w:pStyle w:val="Heading3"/>
      </w:pPr>
      <w:r>
        <w:rPr>
          <w:rFonts w:hint="eastAsia"/>
        </w:rPr>
        <w:t xml:space="preserve">欧盟对华逆差扩至980亿欧元，双边贸易战风险升温</w:t>
      </w:r>
    </w:p>
    <w:p>
      <w:pPr>
        <w:pStyle w:val="FirstParagraph"/>
      </w:pPr>
      <w:r>
        <w:rPr>
          <w:rFonts w:hint="eastAsia"/>
        </w:rPr>
        <w:t xml:space="preserve">2026年第一季度，欧盟对华货物贸易逆差达到980亿欧元，为2022年第三季度以来最高。这一失衡的背后，是该季度欧盟自华进口环比上升3.4%、而对华出口下降4.8%的反向走势。围绕北京不断扩大的贸易顺差，欧中紧张关系正在升温。</w:t>
      </w:r>
    </w:p>
    <w:p>
      <w:pPr>
        <w:pStyle w:val="BodyText"/>
      </w:pPr>
      <w:r>
        <w:rPr>
          <w:rFonts w:hint="eastAsia"/>
        </w:rPr>
        <w:t xml:space="preserve">作为回应，欧盟自7月1日起启动新的贸易防御措施。其一是收紧进口钢材的免税配额——新规将免税配额设定为每年1830万公吨，并对26类钢材的超配额部分征收50%的关税；其二是对小额包裹加征3欧元的关务费，直指中国电商。欧盟委员会称，2025年进入欧盟的小额包裹达59亿件，远高于2022年的约14亿件，而Temu和Shein等中国电商掌控着约90%的此类贸易。</w:t>
      </w:r>
    </w:p>
    <w:p>
      <w:pPr>
        <w:pStyle w:val="BodyText"/>
      </w:pPr>
      <w:r>
        <w:rPr>
          <w:rFonts w:hint="eastAsia"/>
        </w:rPr>
        <w:t xml:space="preserve">与关税手段并行，欧中双方已同意就贸易失衡及中国实施的出口管制启动部长级对话。这场对话与关税措施并存，构成布鲁塞尔“谈判加防御”的双轨策略。</w:t>
      </w:r>
    </w:p>
    <w:p>
      <w:pPr>
        <w:pStyle w:val="BodyText"/>
      </w:pPr>
      <w:r>
        <w:rPr>
          <w:b/>
          <w:bCs/>
        </w:rPr>
        <w:t xml:space="preserve">References</w:t>
      </w:r>
    </w:p>
    <w:p>
      <w:pPr>
        <w:pStyle w:val="BodyText"/>
      </w:pPr>
      <w:r>
        <w:t xml:space="preserve">[16] Ngu, C. (2026, July 2). Are the EU and China heading for a trade war? 5 things to know. Nikkei Asia. https://asia.nikkei.com/economy/trade/are-the-eu-and-china-heading-for-a-trade-war-5-things-to-know</w:t>
      </w:r>
      <w:r>
        <w:t xml:space="preserve"> </w:t>
      </w:r>
      <w:r>
        <w:t xml:space="preserve">[17] Associated Press. (2026, July 1). EU issues new steel and e-commerce regulations to reduce trade imbalance with China. U.S. News &amp; World Report. https://www.usnews.com/news/technology/articles/2026-07-01/eu-issues-new-steel-and-e-commerce-regulations-to-reduce-trade-imbalance-with-china</w:t>
      </w:r>
    </w:p>
    <w:p>
      <w:r>
        <w:pict>
          <v:rect style="width:0;height:1.5pt" o:hralign="center" o:hrstd="t" o:hr="t"/>
        </w:pict>
      </w:r>
    </w:p>
    <w:bookmarkEnd w:id="18"/>
    <w:bookmarkStart w:id="19" w:name="富士电机两名日籍员工在大连被正式逮捕涉稀土出口管制案"/>
    <w:p>
      <w:pPr>
        <w:pStyle w:val="Heading3"/>
      </w:pPr>
      <w:r>
        <w:rPr>
          <w:rFonts w:hint="eastAsia"/>
        </w:rPr>
        <w:t xml:space="preserve">富士电机两名日籍员工在大连被正式逮捕，涉稀土出口管制案</w:t>
      </w:r>
    </w:p>
    <w:p>
      <w:pPr>
        <w:pStyle w:val="FirstParagraph"/>
      </w:pPr>
      <w:r>
        <w:rPr>
          <w:rFonts w:hint="eastAsia"/>
        </w:rPr>
        <w:t xml:space="preserve">中国司法机关于6月中旬和下旬正式逮捕两名富士电机（Fuji</w:t>
      </w:r>
      <w:r>
        <w:t xml:space="preserve"> </w:t>
      </w:r>
      <w:r>
        <w:rPr>
          <w:rFonts w:hint="eastAsia"/>
        </w:rPr>
        <w:t xml:space="preserve">Electric）集团的日籍员工，二人此前分别于5月18日和5月25日在大连被拘留。中方怀疑二人违反中国稀土出口管制法规，将受管制的稀土磁材置入成品内部以运往日本——据信这是中国首起涉及日本公司员工的稀土走私刑事调查。</w:t>
      </w:r>
    </w:p>
    <w:p>
      <w:pPr>
        <w:pStyle w:val="BodyText"/>
      </w:pPr>
      <w:r>
        <w:rPr>
          <w:rFonts w:hint="eastAsia"/>
        </w:rPr>
        <w:t xml:space="preserve">日本内阁官房长官木原稔（Minoru</w:t>
      </w:r>
      <w:r>
        <w:t xml:space="preserve"> </w:t>
      </w:r>
      <w:r>
        <w:rPr>
          <w:rFonts w:hint="eastAsia"/>
        </w:rPr>
        <w:t xml:space="preserve">Kihara）确认，两名日籍人员均已获得领事探视，身体状况良好。中方怀疑，磁材抵日后计划被拆出并重新利用。根据中国刑法，走私国家禁止进出口货物者最高可判五年有期徒刑，情节严重者刑期可超过五年。</w:t>
      </w:r>
    </w:p>
    <w:p>
      <w:pPr>
        <w:pStyle w:val="BodyText"/>
      </w:pPr>
      <w:r>
        <w:rPr>
          <w:rFonts w:hint="eastAsia"/>
        </w:rPr>
        <w:t xml:space="preserve">这起案件被日经“近观中国”专栏资深记者中泽克二（Katsuji</w:t>
      </w:r>
      <w:r>
        <w:t xml:space="preserve"> </w:t>
      </w:r>
      <w:r>
        <w:rPr>
          <w:rFonts w:hint="eastAsia"/>
        </w:rPr>
        <w:t xml:space="preserve">Nakazawa）置于更宽的视角下审视：习近平针对日本的反制措施，正在侵蚀大连这座与日本渊源深厚的城市里积累的善意。北京近月来收紧了对稀土这一军民两用关键材料的出口管制，中日关系亦随之趋紧。</w:t>
      </w:r>
    </w:p>
    <w:p>
      <w:pPr>
        <w:pStyle w:val="BodyText"/>
      </w:pPr>
      <w:r>
        <w:rPr>
          <w:b/>
          <w:bCs/>
        </w:rPr>
        <w:t xml:space="preserve">References</w:t>
      </w:r>
    </w:p>
    <w:p>
      <w:pPr>
        <w:pStyle w:val="BodyText"/>
      </w:pPr>
      <w:r>
        <w:t xml:space="preserve">[18] Nakazawa, K. (2026, July 2). Analysis: China detentions cast shadow over Japan’s legacy in Dalian. Nikkei Asia. https://asia.nikkei.com/editor-s-picks/china-up-close/analysis-china-detentions-cast-shadow-over-japan-s-legacy-in-dalian</w:t>
      </w:r>
      <w:r>
        <w:t xml:space="preserve"> </w:t>
      </w:r>
      <w:r>
        <w:t xml:space="preserve">[19] The Japan Times. (2026, July 1). China arrests two Japanese nationals held in Dalian. The Japan Times. https://www.japantimes.co.jp/news/2026/07/01/japan/crime-legal/japan-nationals-china-arrest/</w:t>
      </w:r>
    </w:p>
    <w:p>
      <w:r>
        <w:pict>
          <v:rect style="width:0;height:1.5pt" o:hralign="center" o:hrstd="t" o:hr="t"/>
        </w:pict>
      </w:r>
    </w:p>
    <w:bookmarkEnd w:id="19"/>
    <w:bookmarkEnd w:id="20"/>
    <w:bookmarkStart w:id="22" w:name="六企业ipo与并购"/>
    <w:p>
      <w:pPr>
        <w:pStyle w:val="Heading2"/>
      </w:pPr>
      <w:r>
        <w:rPr>
          <w:rFonts w:hint="eastAsia"/>
        </w:rPr>
        <w:t xml:space="preserve">六、企业IPO与并购</w:t>
      </w:r>
    </w:p>
    <w:bookmarkStart w:id="21" w:name="安克创新登陆港交所募资约46.3亿港元完成ah双重上市"/>
    <w:p>
      <w:pPr>
        <w:pStyle w:val="Heading3"/>
      </w:pPr>
      <w:r>
        <w:rPr>
          <w:rFonts w:hint="eastAsia"/>
        </w:rPr>
        <w:t xml:space="preserve">安克创新登陆港交所，募资约46.3亿港元完成A+H双重上市</w:t>
      </w:r>
    </w:p>
    <w:p>
      <w:pPr>
        <w:pStyle w:val="FirstParagraph"/>
      </w:pPr>
      <w:r>
        <w:rPr>
          <w:rFonts w:hint="eastAsia"/>
        </w:rPr>
        <w:t xml:space="preserve">安克创新科技股份有限公司（股票代码00668.HK）于7月2日上午9时在香港联交所主板挂牌交易，每手100股H股。此次全球发售定价为每股99.32港元，共发售46,632,800股H股，其中香港公开发售4,663,300股，国际发售41,969,500股。</w:t>
      </w:r>
    </w:p>
    <w:p>
      <w:pPr>
        <w:pStyle w:val="BodyText"/>
      </w:pPr>
      <w:r>
        <w:rPr>
          <w:rFonts w:hint="eastAsia"/>
        </w:rPr>
        <w:t xml:space="preserve">发售获得强劲认购。香港公开发售获超额认购27.57倍，国际发售获超额认购10.24倍。公司募集资金总额约为46.316亿港元（约5.93亿美元），扣除上市开支后净额约为45.227亿港元。</w:t>
      </w:r>
    </w:p>
    <w:p>
      <w:pPr>
        <w:pStyle w:val="BodyText"/>
      </w:pPr>
      <w:r>
        <w:rPr>
          <w:rFonts w:hint="eastAsia"/>
        </w:rPr>
        <w:t xml:space="preserve">安克创新成立于2011年，总部位于深圳，按2025年营收计为全球第一的移动充电产品公司，旗下拥有Anker、Soundcore、eufy等品牌，业务横跨充电与储能、智能影音及智能家居。此次H股上市与其既有的A股上市（300866.SZ）并行，构成A+H双重上市结构。</w:t>
      </w:r>
    </w:p>
    <w:p>
      <w:pPr>
        <w:pStyle w:val="BodyText"/>
      </w:pPr>
      <w:r>
        <w:rPr>
          <w:b/>
          <w:bCs/>
        </w:rPr>
        <w:t xml:space="preserve">References</w:t>
      </w:r>
    </w:p>
    <w:p>
      <w:pPr>
        <w:pStyle w:val="BodyText"/>
      </w:pPr>
      <w:r>
        <w:t xml:space="preserve">[20] Minichart. (2026, July 1). Anker Innovations Technology Co., Ltd. announces global offering and allotment results for HKEX listing 2026. Minichart. https://www.minichart.com.sg/2026/07/01/anker-innovations-technology-co-ltd-announces-global-offering-and-allotment-results-for-hkex-listing-2026/</w:t>
      </w:r>
      <w:r>
        <w:t xml:space="preserve"> </w:t>
      </w:r>
      <w:r>
        <w:t xml:space="preserve">[21] Hong Kong Exchanges and Clearing. (2026, June 23). Anker Innovations Technology Co., Ltd. global offering. HKEXnews. https://www1.hkexnews.hk/listedco/listconews/sehk/2026/0623/2026062300037.pdf</w:t>
      </w:r>
      <w:r>
        <w:t xml:space="preserve"> </w:t>
      </w:r>
      <w:r>
        <w:t xml:space="preserve">[22] Globe and Mail. (2026). Anker Innovations announces the listing plan on the Main Board of HKEX with a maximum fundraising of HK$4,631.6 million. The Globe and Mail. https://www.theglobeandmail.com/investing/markets/markets-news/ACN/2594243/anker-innovations-announces-the-listing-plan-on-the-main-board-of-hkex-with-a-maximum-fundraising-of-hk4-631-6-million/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1"/>
    <w:bookmarkEnd w:id="22"/>
    <w:bookmarkStart w:id="23"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2026-07-02T09:04:31Z</dcterms:created>
  <dcterms:modified xsi:type="dcterms:W3CDTF">2026-07-02T09:04:31Z</dcterms:modified>
</cp:coreProperties>
</file>

<file path=docProps/custom.xml><?xml version="1.0" encoding="utf-8"?>
<Properties xmlns="http://schemas.openxmlformats.org/officeDocument/2006/custom-properties" xmlns:vt="http://schemas.openxmlformats.org/officeDocument/2006/docPropsVTypes"/>
</file>