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3b84c0a4bc4ef5c31315e0d562373e6a6465ad5"/>
    <w:p>
      <w:pPr>
        <w:pStyle w:val="Heading1"/>
      </w:pPr>
      <w:r>
        <w:t xml:space="preserve">China Daily News Intelligence — July 2, 2026</w:t>
      </w:r>
    </w:p>
    <w:bookmarkStart w:id="10" w:name="economy-markets"/>
    <w:p>
      <w:pPr>
        <w:pStyle w:val="Heading2"/>
      </w:pPr>
      <w:r>
        <w:t xml:space="preserve">1. Economy &amp; Markets</w:t>
      </w:r>
    </w:p>
    <w:bookmarkStart w:id="9" w:name="X2ec81dd12ca3dff27903cd44cab4db36f2256ba"/>
    <w:p>
      <w:pPr>
        <w:pStyle w:val="Heading3"/>
      </w:pPr>
      <w:r>
        <w:t xml:space="preserve">China invites EU trade chief to Beijing this autumn for second consultation meeting</w:t>
      </w:r>
    </w:p>
    <w:p>
      <w:pPr>
        <w:pStyle w:val="FirstParagraph"/>
      </w:pPr>
      <w:r>
        <w:t xml:space="preserve">China invited the EU’s trade chief to visit this autumn for the second meeting of the newly created China-EU trade and investment consultation mechanism, commerce ministry spokesperson He Yadong said July 2, 2026. The two sides agreed to hold one or two minister-level meetings of the mechanism each year.</w:t>
      </w:r>
    </w:p>
    <w:p>
      <w:pPr>
        <w:pStyle w:val="BodyText"/>
      </w:pPr>
      <w:r>
        <w:t xml:space="preserve">The mechanism launched at its inaugural meeting in Brussels on June 29, 2026, co-chaired by China’s Minister of Commerce Wang Wentao and European Commissioner for Trade and Economic Security Maros Sefcovic. It is Beijing and Brussels’ attempt to talk their way out of a widening imbalance rather than trade tariff for tariff. Sefcovic, after meeting Wang, said he expected to travel to China in October hoping to present the</w:t>
      </w:r>
      <w:r>
        <w:t xml:space="preserve"> </w:t>
      </w:r>
      <w:r>
        <w:t xml:space="preserve">“first tangible results.”</w:t>
      </w:r>
    </w:p>
    <w:p>
      <w:pPr>
        <w:pStyle w:val="BodyText"/>
      </w:pPr>
      <w:r>
        <w:t xml:space="preserve">The two sides set four workstreams: trade and investment balancing, export controls, intellectual property rights, and WTO reform. They also agreed to establish a joint monitoring mechanism, exchanged lists of market-access grievances, and mandated officials to keep negotiating between ministerial rounds.</w:t>
      </w:r>
    </w:p>
    <w:p>
      <w:pPr>
        <w:pStyle w:val="BodyText"/>
      </w:pPr>
      <w:r>
        <w:t xml:space="preserve">The urgency is in the numbers. The EU’s goods deficit with China hit EUR 98 billion in the first quarter of 2026, the highest since the third quarter of 2022. On the eve of the launch, Brussels rolled out fresh trade-defence measures — tighter steel import quotas and a EUR 3 charge on small parcels — that Beijing views as the pressure it now hopes the mechanism will contain.</w:t>
      </w:r>
    </w:p>
    <w:p>
      <w:pPr>
        <w:pStyle w:val="BodyText"/>
      </w:pPr>
      <w:r>
        <w:rPr>
          <w:b/>
          <w:bCs/>
        </w:rPr>
        <w:t xml:space="preserve">References</w:t>
      </w:r>
    </w:p>
    <w:p>
      <w:pPr>
        <w:pStyle w:val="BodyText"/>
      </w:pPr>
      <w:r>
        <w:t xml:space="preserve">[1] Reuters. (2026, July 2). China, EU to hold second trade and investment consultation mechanism meeting this autumn. Yahoo Finance. https://uk.finance.yahoo.com/news/china-eu-second-trade-investment-072459865.html</w:t>
      </w:r>
      <w:r>
        <w:t xml:space="preserve"> </w:t>
      </w:r>
      <w:r>
        <w:t xml:space="preserve">[2] Global Times. (2026, June 30). China, EU launch trade consultation mechanism; devt injects hopes but frictions may persist if Brussels shifts blame. Global Times. https://www.globaltimes.cn/page/202606/1364765.shtml</w:t>
      </w:r>
      <w:r>
        <w:t xml:space="preserve"> </w:t>
      </w:r>
      <w:r>
        <w:t xml:space="preserve">[3] EUnews. (2026, June 29). The EU and China launch trade consultations. EUnews. https://www.eunews.it/en/2026/06/29/eu-and-china-launch-trade-consultations-sefcovic-results-by-october/</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9"/>
    <w:bookmarkEnd w:id="10"/>
    <w:bookmarkStart w:id="13" w:name="politics-diplomacy"/>
    <w:p>
      <w:pPr>
        <w:pStyle w:val="Heading2"/>
      </w:pPr>
      <w:r>
        <w:t xml:space="preserve">2. Politics &amp; Diplomacy</w:t>
      </w:r>
    </w:p>
    <w:bookmarkStart w:id="11" w:name="X50045d8dd4dfe0cb8e229147f6931c0600c12de"/>
    <w:p>
      <w:pPr>
        <w:pStyle w:val="Heading3"/>
      </w:pPr>
      <w:r>
        <w:t xml:space="preserve">Wang Yi warns Rubio to handle Taiwan issue with utmost caution</w:t>
      </w:r>
    </w:p>
    <w:p>
      <w:pPr>
        <w:pStyle w:val="FirstParagraph"/>
      </w:pPr>
      <w:r>
        <w:t xml:space="preserve">Chinese Foreign Minister Wang Yi told US Secretary of State Marco Rubio to approach Taiwan with</w:t>
      </w:r>
      <w:r>
        <w:t xml:space="preserve"> </w:t>
      </w:r>
      <w:r>
        <w:t xml:space="preserve">“the utmost caution”</w:t>
      </w:r>
      <w:r>
        <w:t xml:space="preserve"> </w:t>
      </w:r>
      <w:r>
        <w:t xml:space="preserve">in a phone call, warning that</w:t>
      </w:r>
      <w:r>
        <w:t xml:space="preserve"> </w:t>
      </w:r>
      <w:r>
        <w:t xml:space="preserve">“a slight move on the Taiwan issue could affect the whole situation.”</w:t>
      </w:r>
      <w:r>
        <w:t xml:space="preserve"> </w:t>
      </w:r>
      <w:r>
        <w:t xml:space="preserve">It was the first reported cabinet-level contact between the two governments since President Trump’s visit to China in mid-May 2026.</w:t>
      </w:r>
    </w:p>
    <w:p>
      <w:pPr>
        <w:pStyle w:val="BodyText"/>
      </w:pPr>
      <w:r>
        <w:t xml:space="preserve">Wang’s language echoed the summit itself, where Xi Jinping told Trump that mishandling the two sides’ disagreements over Taiwan could push relations into an</w:t>
      </w:r>
      <w:r>
        <w:t xml:space="preserve"> </w:t>
      </w:r>
      <w:r>
        <w:t xml:space="preserve">“extremely dangerous place.”</w:t>
      </w:r>
      <w:r>
        <w:t xml:space="preserve"> </w:t>
      </w:r>
      <w:r>
        <w:t xml:space="preserve">Wang pressed for a</w:t>
      </w:r>
      <w:r>
        <w:t xml:space="preserve"> </w:t>
      </w:r>
      <w:r>
        <w:t xml:space="preserve">“constructive, strategically stable relationship”</w:t>
      </w:r>
      <w:r>
        <w:t xml:space="preserve"> </w:t>
      </w:r>
      <w:r>
        <w:t xml:space="preserve">and urged both governments to</w:t>
      </w:r>
      <w:r>
        <w:t xml:space="preserve"> </w:t>
      </w:r>
      <w:r>
        <w:t xml:space="preserve">“eliminate disruptions, overcome obstacles.”</w:t>
      </w:r>
      <w:r>
        <w:t xml:space="preserve"> </w:t>
      </w:r>
      <w:r>
        <w:t xml:space="preserve">The Chinese side characterised the call as</w:t>
      </w:r>
      <w:r>
        <w:t xml:space="preserve"> </w:t>
      </w:r>
      <w:r>
        <w:t xml:space="preserve">“positive and constructive.”</w:t>
      </w:r>
    </w:p>
    <w:p>
      <w:pPr>
        <w:pStyle w:val="BodyText"/>
      </w:pPr>
      <w:r>
        <w:t xml:space="preserve">Beijing’s caution language is a recurring marker. In earlier exchanges this year China named Taiwan the biggest risk in the US-China relationship, and Taipei responded with concern each time the phrase surfaced. Both sides said they would keep the leader-level consensus reached at the May summit and maintain communication.</w:t>
      </w:r>
    </w:p>
    <w:p>
      <w:pPr>
        <w:pStyle w:val="BodyText"/>
      </w:pPr>
      <w:r>
        <w:rPr>
          <w:b/>
          <w:bCs/>
        </w:rPr>
        <w:t xml:space="preserve">References</w:t>
      </w:r>
    </w:p>
    <w:p>
      <w:pPr>
        <w:pStyle w:val="BodyText"/>
      </w:pPr>
      <w:r>
        <w:t xml:space="preserve">[4] Nikkei Asia. (2026, July 1). China urges US to handle Taiwan issue</w:t>
      </w:r>
      <w:r>
        <w:t xml:space="preserve"> </w:t>
      </w:r>
      <w:r>
        <w:t xml:space="preserve">‘with utmost caution’</w:t>
      </w:r>
      <w:r>
        <w:t xml:space="preserve">. Nikkei Asia. https://asia.nikkei.com/politics/international-relations/china-urges-us-to-handle-taiwan-issue-with-utmost-caution</w:t>
      </w:r>
      <w:r>
        <w:t xml:space="preserve"> </w:t>
      </w:r>
      <w:r>
        <w:t xml:space="preserve">[5] Dimsum Daily. (2026, July 1). Wang Yi urges U.S. to handle Taiwan issue with caution in call with Rubio. Dimsum Daily. https://www.dimsumdaily.hk/wang-yi-urges-u-s-to-handle-taiwan-issue-with-caution-in-call-with-rubio/</w:t>
      </w:r>
      <w:r>
        <w:t xml:space="preserve"> </w:t>
      </w:r>
      <w:r>
        <w:t xml:space="preserve">[6] South China Morning Post. (2026, July 1). China’s Wang Yi warns Marco Rubio to approach Taiwan affairs with</w:t>
      </w:r>
      <w:r>
        <w:t xml:space="preserve"> </w:t>
      </w:r>
      <w:r>
        <w:t xml:space="preserve">‘utmost caution’</w:t>
      </w:r>
      <w:r>
        <w:t xml:space="preserve">. South China Morning Post. https://www.scmp.com/news/china/diplomacy/article/3359077/chinas-wang-yi-warns-marco-rubio-approach-taiwan-affairs-utmost-caution</w:t>
      </w:r>
    </w:p>
    <w:p>
      <w:r>
        <w:pict>
          <v:rect style="width:0;height:1.5pt" o:hralign="center" o:hrstd="t" o:hr="t"/>
        </w:pict>
      </w:r>
    </w:p>
    <w:bookmarkEnd w:id="11"/>
    <w:bookmarkStart w:id="12" w:name="X6b7aa626407f15e92aed3afe65b65160b6d4f0f"/>
    <w:p>
      <w:pPr>
        <w:pStyle w:val="Heading3"/>
      </w:pPr>
      <w:r>
        <w:t xml:space="preserve">John Lee tightens embrace of Xi in a pivotal year for his own future</w:t>
      </w:r>
    </w:p>
    <w:p>
      <w:pPr>
        <w:pStyle w:val="FirstParagraph"/>
      </w:pPr>
      <w:r>
        <w:t xml:space="preserve">Hong Kong Chief Executive John Lee used the July 1 ceremony marking the 29th anniversary of the city’s handover from Britain to China to draw a symbolic line between Hong Kong’s founding and the Communist Party, deepening his alignment with Xi Jinping as he enters the final year of his term.</w:t>
      </w:r>
    </w:p>
    <w:p>
      <w:pPr>
        <w:pStyle w:val="BodyText"/>
      </w:pPr>
      <w:r>
        <w:t xml:space="preserve">The timing is personal. Lee has stayed non-committal on a second term, and Bloomberg reported in June that he is waiting on Beijing’s nod after a mainland inspection, with the leadership selection due next year. HKMAO Director Xia Baolong publicly backed the administration’s performance — the kind of signal that matters in a system where the top job is decided in Beijing, not at the ballot box.</w:t>
      </w:r>
    </w:p>
    <w:p>
      <w:pPr>
        <w:pStyle w:val="BodyText"/>
      </w:pPr>
      <w:r>
        <w:t xml:space="preserve">Lee named two priorities for the year ahead: the Northern Metropolis tech hub, which he said has moved</w:t>
      </w:r>
      <w:r>
        <w:t xml:space="preserve"> </w:t>
      </w:r>
      <w:r>
        <w:t xml:space="preserve">“from the blueprint phase to maturity”</w:t>
      </w:r>
      <w:r>
        <w:t xml:space="preserve"> </w:t>
      </w:r>
      <w:r>
        <w:t xml:space="preserve">and is meant to house about 2.5 million residents and create 650,000 jobs by 2046, and Hong Kong’s first five-year plan, which he cast as a document meant to integrate the city with national development. In his address, Lee described the Communist Party as a</w:t>
      </w:r>
      <w:r>
        <w:t xml:space="preserve"> </w:t>
      </w:r>
      <w:r>
        <w:t xml:space="preserve">“fundamental safeguard”</w:t>
      </w:r>
      <w:r>
        <w:t xml:space="preserve"> </w:t>
      </w:r>
      <w:r>
        <w:t xml:space="preserve">of Hong Kong’s prosperity.</w:t>
      </w:r>
    </w:p>
    <w:p>
      <w:pPr>
        <w:pStyle w:val="BodyText"/>
      </w:pPr>
      <w:r>
        <w:rPr>
          <w:b/>
          <w:bCs/>
        </w:rPr>
        <w:t xml:space="preserve">References</w:t>
      </w:r>
    </w:p>
    <w:p>
      <w:pPr>
        <w:pStyle w:val="BodyText"/>
      </w:pPr>
      <w:r>
        <w:t xml:space="preserve">[7] Kawase, K. (2026, July 1). Hong Kong’s John Lee tightens embrace of Xi in pivotal year for himself. Nikkei Asia. https://asia.nikkei.com/politics/hong-kong-s-john-lee-tightens-embrace-of-xi-in-pivotal-year-for-himself</w:t>
      </w:r>
      <w:r>
        <w:t xml:space="preserve"> </w:t>
      </w:r>
      <w:r>
        <w:t xml:space="preserve">[8] Hong Kong Free Press. (2026, July 1). July 1: Leader John Lee to prioritise Northern Metropolis and 5-year plan, as fallen firefighter among honourees. Hong Kong Free Press. https://hongkongfp.com/2026/07/01/july-1-leader-john-lee-to-prioritise-northern-metropolis-and-5-year-plan-as-fallen-firefighter-among-honourees/</w:t>
      </w:r>
      <w:r>
        <w:t xml:space="preserve"> </w:t>
      </w:r>
      <w:r>
        <w:t xml:space="preserve">[9] China Daily. (2025, October 29). Northern Metropolis at core of HK’s first five-year plan. China Daily Hong Kong. https://www.chinadailyhk.com/hk/article/632577</w:t>
      </w:r>
      <w:r>
        <w:t xml:space="preserve"> </w:t>
      </w:r>
      <w:r>
        <w:t xml:space="preserve">[10] Bloomberg. (2026, June 25). Hong Kong leader John Lee waits for China’s nod on second term after inspection. Bloomberg. https://www.bloomberg.com/news/newsletters/2026-06-25/hong-kong-leader-john-lee-waits-for-china-s-nod-on-second-term-after-inspection</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2"/>
    <w:bookmarkEnd w:id="13"/>
    <w:bookmarkStart w:id="15" w:name="technology-industry"/>
    <w:p>
      <w:pPr>
        <w:pStyle w:val="Heading2"/>
      </w:pPr>
      <w:r>
        <w:t xml:space="preserve">3. Technology &amp; Industry</w:t>
      </w:r>
    </w:p>
    <w:bookmarkStart w:id="14" w:name="X62969a02ee766910fe997b94be96d7fd28b5f89"/>
    <w:p>
      <w:pPr>
        <w:pStyle w:val="Heading3"/>
      </w:pPr>
      <w:r>
        <w:t xml:space="preserve">China’s polysilicon cartel plan stalls after antitrust regulator calls it price-fixing</w:t>
      </w:r>
    </w:p>
    <w:p>
      <w:pPr>
        <w:pStyle w:val="FirstParagraph"/>
      </w:pPr>
      <w:r>
        <w:t xml:space="preserve">A plan by six of China’s largest polysilicon producers to raise roughly CNY 50 billion (about USD 7 billion) and idle a third of the country’s capacity has sat dormant for months, after the State Administration for Market Regulation (SAMR) ruled the effort amounted to illegal price coordination. Tongwei, GCL, Daqo, Xinte, East Hope, and Asia Silicon are the six firms behind it.</w:t>
      </w:r>
    </w:p>
    <w:p>
      <w:pPr>
        <w:pStyle w:val="BodyText"/>
      </w:pPr>
      <w:r>
        <w:t xml:space="preserve">The stakes are outsized because Chinese suppliers control roughly 95% of global polysilicon capacity — the raw material for solar panels. Years of overbuilding drove prices below cost, and the</w:t>
      </w:r>
      <w:r>
        <w:t xml:space="preserve"> </w:t>
      </w:r>
      <w:r>
        <w:t xml:space="preserve">“self-discipline”</w:t>
      </w:r>
      <w:r>
        <w:t xml:space="preserve"> </w:t>
      </w:r>
      <w:r>
        <w:t xml:space="preserve">scheme was the industry’s attempt to engineer a floor by buying and mothballing surplus output.</w:t>
      </w:r>
    </w:p>
    <w:p>
      <w:pPr>
        <w:pStyle w:val="BodyText"/>
      </w:pPr>
      <w:r>
        <w:t xml:space="preserve">SAMR summoned the six producers to Beijing in January and flagged monopoly risks tied to a stockpiling platform, saying that since mid-2025 the companies had coordinated through commitment letters and consolidation plans. The regulator issued three prohibitions: no coordinating capacity, no manipulating utilisation rates, no price-fixing. Polysilicon futures on the Guangzhou exchange fell to their daily limit the day the crackdown broke.</w:t>
      </w:r>
    </w:p>
    <w:p>
      <w:pPr>
        <w:pStyle w:val="BodyText"/>
      </w:pPr>
      <w:r>
        <w:t xml:space="preserve">With the joint venture frozen, the price war has no circuit breaker. Module prices are expected to hit USD 0.12 per watt in the second half of 2026.</w:t>
      </w:r>
    </w:p>
    <w:p>
      <w:pPr>
        <w:pStyle w:val="BodyText"/>
      </w:pPr>
      <w:r>
        <w:rPr>
          <w:b/>
          <w:bCs/>
        </w:rPr>
        <w:t xml:space="preserve">References</w:t>
      </w:r>
    </w:p>
    <w:p>
      <w:pPr>
        <w:pStyle w:val="BodyText"/>
      </w:pPr>
      <w:r>
        <w:t xml:space="preserve">[11] Fujimura, K. (2026, July 2). China solar panel material JV remains dormant months after launch. Nikkei Asia. https://asia.nikkei.com/business/energy/china-solar-panel-material-jv-remains-dormant-months-after-launch</w:t>
      </w:r>
      <w:r>
        <w:t xml:space="preserve"> </w:t>
      </w:r>
      <w:r>
        <w:t xml:space="preserve">[12] pv magazine. (2026, January 9). China’s competition regulator halts $7 billion plan to consolidate polysilicon industry. pv magazine. https://www.pv-magazine.com/2026/01/09/chinas-competition-regulator-halts-7-billion-polysilicon-consolidation-plan/</w:t>
      </w:r>
      <w:r>
        <w:t xml:space="preserve"> </w:t>
      </w:r>
      <w:r>
        <w:t xml:space="preserve">[13] Energynews.pro. (2026, January 9). China: Antitrust regulator summons six polysilicon giants over alleged anti-competitive practices. Energynews.pro. https://energynews.pro/en/china-antitrust-regulator-summons-six-polysilicon-giants-over-alleged-anti-competitive-practices/</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14"/>
    <w:bookmarkEnd w:id="15"/>
    <w:bookmarkStart w:id="17" w:name="society-livelihood"/>
    <w:p>
      <w:pPr>
        <w:pStyle w:val="Heading2"/>
      </w:pPr>
      <w:r>
        <w:t xml:space="preserve">4. Society &amp; Livelihood</w:t>
      </w:r>
    </w:p>
    <w:bookmarkStart w:id="16" w:name="X9f56514b4579ac5b10110346e08cd24e0c05c48"/>
    <w:p>
      <w:pPr>
        <w:pStyle w:val="Heading3"/>
      </w:pPr>
      <w:r>
        <w:t xml:space="preserve">China’s ethnic unity law takes effect, extending its reach to critics abroad</w:t>
      </w:r>
    </w:p>
    <w:p>
      <w:pPr>
        <w:pStyle w:val="FirstParagraph"/>
      </w:pPr>
      <w:r>
        <w:t xml:space="preserve">China’s</w:t>
      </w:r>
      <w:r>
        <w:t xml:space="preserve"> </w:t>
      </w:r>
      <w:r>
        <w:t xml:space="preserve">“Law on the Promotion of Ethnic Unity and Progress,”</w:t>
      </w:r>
      <w:r>
        <w:t xml:space="preserve"> </w:t>
      </w:r>
      <w:r>
        <w:t xml:space="preserve">passed in March 2026, took effect on July 2, 2026, and its Article 63 lets Beijing pursue legal action against foreign entities and individuals outside mainland China deemed to</w:t>
      </w:r>
      <w:r>
        <w:t xml:space="preserve"> </w:t>
      </w:r>
      <w:r>
        <w:t xml:space="preserve">“undermine ethnic unity and progress or create ethnic division.”</w:t>
      </w:r>
    </w:p>
    <w:p>
      <w:pPr>
        <w:pStyle w:val="BodyText"/>
      </w:pPr>
      <w:r>
        <w:t xml:space="preserve">Rights groups read the provision as a licence for transnational repression. Amnesty International Deputy Regional Director Sarah Brooks warned that</w:t>
      </w:r>
      <w:r>
        <w:t xml:space="preserve"> </w:t>
      </w:r>
      <w:r>
        <w:t xml:space="preserve">“Peaceful advocacy for minority rights in China by anyone, anywhere could be characterised as undermining</w:t>
      </w:r>
      <w:r>
        <w:t xml:space="preserve"> </w:t>
      </w:r>
      <w:r>
        <w:t xml:space="preserve">‘ethnic unity.’</w:t>
      </w:r>
      <w:r>
        <w:t xml:space="preserve">”</w:t>
      </w:r>
      <w:r>
        <w:t xml:space="preserve"> </w:t>
      </w:r>
      <w:r>
        <w:t xml:space="preserve">UN Special Rapporteurs on Minority Rights and Cultural Rights had earlier cautioned the law</w:t>
      </w:r>
      <w:r>
        <w:t xml:space="preserve"> </w:t>
      </w:r>
      <w:r>
        <w:t xml:space="preserve">“could have serious implications for the linguistic, cultural, and religious autonomy of ethnic communities, including Tibetans, Uyghurs, and Mongols.”</w:t>
      </w:r>
    </w:p>
    <w:p>
      <w:pPr>
        <w:pStyle w:val="BodyText"/>
      </w:pPr>
      <w:r>
        <w:t xml:space="preserve">The law mandates Mandarin as the primary medium of education and promotes intermarriage between Han and other ethnic groups — measures critics tie to assimilation drives already documented in Tibet and Xinjiang. A bipartisan group of US senators, the UK’s parliamentary group on Tibet, and Germany’s foreign ministry have all condemned it, the last citing the risk of transnational repression.</w:t>
      </w:r>
    </w:p>
    <w:p>
      <w:pPr>
        <w:pStyle w:val="BodyText"/>
      </w:pPr>
      <w:r>
        <w:t xml:space="preserve">Beijing rejects that framing. Chinese Government Spokesperson Zhou Jianshe defended Article 63 as a</w:t>
      </w:r>
      <w:r>
        <w:t xml:space="preserve"> </w:t>
      </w:r>
      <w:r>
        <w:t xml:space="preserve">“legitimate, lawful, necessary, and workable legal provision.”</w:t>
      </w:r>
      <w:r>
        <w:t xml:space="preserve"> </w:t>
      </w:r>
      <w:r>
        <w:t xml:space="preserve">Taiwan’s President William Lai Ching-te urged citizens to exercise caution, with Taipei’s security officials assessing that the Party is trying to extend its domestic red lines beyond China’s borders.</w:t>
      </w:r>
    </w:p>
    <w:p>
      <w:pPr>
        <w:pStyle w:val="BodyText"/>
      </w:pPr>
      <w:r>
        <w:rPr>
          <w:b/>
          <w:bCs/>
        </w:rPr>
        <w:t xml:space="preserve">References</w:t>
      </w:r>
    </w:p>
    <w:p>
      <w:pPr>
        <w:pStyle w:val="BodyText"/>
      </w:pPr>
      <w:r>
        <w:t xml:space="preserve">[14] Hale, E. (2026, July 2). China’s new ethnic unity law extends its legal reach overseas. Al Jazeera. https://www.aljazeera.com/news/2026/7/2/chinas-new-ethnic-unity-law-extends-its-legal-reach-overseas</w:t>
      </w:r>
      <w:r>
        <w:t xml:space="preserve"> </w:t>
      </w:r>
      <w:r>
        <w:t xml:space="preserve">[15] CNN. (2026, July 1). Ethnic Unity Law: China tells minorities to assimilate with sweeping new legislation. CNN. https://www.cnn.com/2026/07/01/china/china-ethnic-unity-law-intl-hnk</w:t>
      </w:r>
      <w:r>
        <w:t xml:space="preserve"> </w:t>
      </w:r>
      <w:r>
        <w:t xml:space="preserve">[16] Amnesty International. (2026, June 30). China: New</w:t>
      </w:r>
      <w:r>
        <w:t xml:space="preserve"> </w:t>
      </w:r>
      <w:r>
        <w:t xml:space="preserve">‘ethnic unity’</w:t>
      </w:r>
      <w:r>
        <w:t xml:space="preserve"> </w:t>
      </w:r>
      <w:r>
        <w:t xml:space="preserve">law set to entrench assimilation of minority groups. Amnesty International. https://www.amnesty.org/en/latest/news/2026/06/china-new-ethnic-unity-law-set-to-entrench-assimilation-of-minority-groups/</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16"/>
    <w:bookmarkEnd w:id="17"/>
    <w:bookmarkStart w:id="20" w:name="china-nexus-finance-investment"/>
    <w:p>
      <w:pPr>
        <w:pStyle w:val="Heading2"/>
      </w:pPr>
      <w:r>
        <w:t xml:space="preserve">5. China-Nexus Finance &amp; Investment</w:t>
      </w:r>
    </w:p>
    <w:bookmarkStart w:id="18" w:name="Xdca70a19a4da664315e9411ccacdd664efbc6de"/>
    <w:p>
      <w:pPr>
        <w:pStyle w:val="Heading3"/>
      </w:pPr>
      <w:r>
        <w:t xml:space="preserve">EU and China edge toward a trade war as Brussels tightens steel and parcel rules</w:t>
      </w:r>
    </w:p>
    <w:p>
      <w:pPr>
        <w:pStyle w:val="FirstParagraph"/>
      </w:pPr>
      <w:r>
        <w:t xml:space="preserve">The EU’s goods trade deficit with China hit EUR 98 billion in the first quarter of 2026 — the highest since the third quarter of 2022 — as imports from China rose 3.4% quarter-on-quarter while EU exports to China fell 4.8%. The widening gap is the pressure behind a fresh round of European trade-defence measures that took effect July 1.</w:t>
      </w:r>
    </w:p>
    <w:p>
      <w:pPr>
        <w:pStyle w:val="BodyText"/>
      </w:pPr>
      <w:r>
        <w:t xml:space="preserve">Brussels reduced the duty-free quota for imported steel and imposed a 50% out-of-quota duty on 26 categories, with new</w:t>
      </w:r>
      <w:r>
        <w:t xml:space="preserve"> </w:t>
      </w:r>
      <w:r>
        <w:t xml:space="preserve">“melt and pour”</w:t>
      </w:r>
      <w:r>
        <w:t xml:space="preserve"> </w:t>
      </w:r>
      <w:r>
        <w:t xml:space="preserve">tracing rules aimed at stopping Chinese steel from entering via third countries. It also scrapped the</w:t>
      </w:r>
      <w:r>
        <w:t xml:space="preserve"> </w:t>
      </w:r>
      <w:r>
        <w:t xml:space="preserve">“de minimis”</w:t>
      </w:r>
      <w:r>
        <w:t xml:space="preserve"> </w:t>
      </w:r>
      <w:r>
        <w:t xml:space="preserve">exemption on parcels under EUR 150 and layered on a EUR 3 customs charge per small package — a direct hit on Chinese e-commerce, where Temu and Shein control roughly 90% of the trade. The EU logged 5.9 billion small parcels imported in 2025, up from about 1.4 billion in 2022.</w:t>
      </w:r>
    </w:p>
    <w:p>
      <w:pPr>
        <w:pStyle w:val="BodyText"/>
      </w:pPr>
      <w:r>
        <w:t xml:space="preserve">The measures land alongside the new China-EU consultation mechanism launched June 29, giving both sides a channel to negotiate imbalances and China’s export controls even as the tariff walls go up. Whether dialogue outruns escalation is the open question; Sefcovic has said he wants</w:t>
      </w:r>
      <w:r>
        <w:t xml:space="preserve"> </w:t>
      </w:r>
      <w:r>
        <w:t xml:space="preserve">“first tangible results”</w:t>
      </w:r>
      <w:r>
        <w:t xml:space="preserve"> </w:t>
      </w:r>
      <w:r>
        <w:t xml:space="preserve">by October.</w:t>
      </w:r>
    </w:p>
    <w:p>
      <w:pPr>
        <w:pStyle w:val="BodyText"/>
      </w:pPr>
      <w:r>
        <w:rPr>
          <w:b/>
          <w:bCs/>
        </w:rPr>
        <w:t xml:space="preserve">References</w:t>
      </w:r>
    </w:p>
    <w:p>
      <w:pPr>
        <w:pStyle w:val="BodyText"/>
      </w:pPr>
      <w:r>
        <w:t xml:space="preserve">[17] Ngu, C. (2026, July 1). Are the EU and China heading for a trade war? 5 things to know. Nikkei Asia. https://asia.nikkei.com/economy/trade/are-the-eu-and-china-heading-for-a-trade-war-5-things-to-know</w:t>
      </w:r>
      <w:r>
        <w:t xml:space="preserve"> </w:t>
      </w:r>
      <w:r>
        <w:t xml:space="preserve">[18] The Washington Post. (2026, July 1). EU issues new steel and e-commerce regulations to reduce trade imbalance with China. The Washington Post. https://www.washingtonpost.com/business/2026/07/01/eu-china-trade-steel-ecommerce-quotas-tariffs/b44d5370-7545-11f1-b665-5f8be87f3787_story.html</w:t>
      </w:r>
      <w:r>
        <w:t xml:space="preserve"> </w:t>
      </w:r>
      <w:r>
        <w:t xml:space="preserve">[19] Al Jazeera. (2026, June 30). EU gets tough on China as trade imbalance stokes deindustrialisation fears. Al Jazeera. https://www.aljazeera.com/economy/2026/6/30/eu-gets-tough-on-china-as-trade-imbalance-stokes-deindustrialisation-fears</w:t>
      </w:r>
    </w:p>
    <w:p>
      <w:r>
        <w:pict>
          <v:rect style="width:0;height:1.5pt" o:hralign="center" o:hrstd="t" o:hr="t"/>
        </w:pict>
      </w:r>
    </w:p>
    <w:bookmarkEnd w:id="18"/>
    <w:bookmarkStart w:id="19" w:name="X52ada52788c8b61a4108a779baba6acc17a1701"/>
    <w:p>
      <w:pPr>
        <w:pStyle w:val="Heading3"/>
      </w:pPr>
      <w:r>
        <w:t xml:space="preserve">China arrests two Fuji Electric employees in Dalian over rare-earth exports</w:t>
      </w:r>
    </w:p>
    <w:p>
      <w:pPr>
        <w:pStyle w:val="FirstParagraph"/>
      </w:pPr>
      <w:r>
        <w:t xml:space="preserve">China formally arrested two Japanese employees of the Fuji Electric group in mid- and late June, after detaining them May 18 and May 25 in Dalian on suspicion of violating China’s rare-earth export control law by placing controlled rare-earth magnets inside finished products bound for Japan. It is believed to be the first known criminal investigation in China involving Japanese company employees over alleged rare-earth smuggling.</w:t>
      </w:r>
    </w:p>
    <w:p>
      <w:pPr>
        <w:pStyle w:val="BodyText"/>
      </w:pPr>
      <w:r>
        <w:t xml:space="preserve">Chinese authorities suspect the magnets were to be removed and reused once the products reached Japan. Local customs handled the arrests under a statute covering the smuggling of prohibited exports. Japanese Chief Cabinet Secretary Minoru Kihara confirmed both nationals have had consular access and are in good health.</w:t>
      </w:r>
    </w:p>
    <w:p>
      <w:pPr>
        <w:pStyle w:val="BodyText"/>
      </w:pPr>
      <w:r>
        <w:t xml:space="preserve">Nikkei’s Katsuji Nakazawa frames the case as part of Xi Jinping’s retaliatory turn against Tokyo, and notes the symbolic weight of Dalian — a northeastern port city with deep historical ties to Japanese investment, where such an arrest chills the goodwill Japanese firms spent decades building. The detentions also ripple beyond Japan: South Korean manufacturers, equally dependent on Chinese rare-earth supply, are watching a precedent for how aggressively Beijing will now police its export controls against foreign staff.</w:t>
      </w:r>
    </w:p>
    <w:p>
      <w:pPr>
        <w:pStyle w:val="BodyText"/>
      </w:pPr>
      <w:r>
        <w:rPr>
          <w:b/>
          <w:bCs/>
        </w:rPr>
        <w:t xml:space="preserve">References</w:t>
      </w:r>
    </w:p>
    <w:p>
      <w:pPr>
        <w:pStyle w:val="BodyText"/>
      </w:pPr>
      <w:r>
        <w:t xml:space="preserve">[20] Nakazawa, K. (2026, July 1). Analysis: China detentions cast shadow over Japan’s legacy in Dalian. Nikkei Asia. https://asia.nikkei.com/editor-s-picks/china-up-close/analysis-china-detentions-cast-shadow-over-japan-s-legacy-in-dalian</w:t>
      </w:r>
      <w:r>
        <w:t xml:space="preserve"> </w:t>
      </w:r>
      <w:r>
        <w:t xml:space="preserve">[21] The Japan Times. (2026, July 1). China arrests two Japanese nationals held in Dalian. The Japan Times. https://www.japantimes.co.jp/news/2026/07/01/japan/crime-legal/japan-nationals-china-arrest/</w:t>
      </w:r>
      <w:r>
        <w:t xml:space="preserve"> </w:t>
      </w:r>
      <w:r>
        <w:t xml:space="preserve">[22] UPI. (2026, June 30). China rare-earth arrests raise supply risks for South Korea. UPI. https://www.upi.com/Top_News/World-News/2026/06/30/rare-earth-japan-fuji-electric/6211782862980/</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9"/>
    <w:bookmarkEnd w:id="20"/>
    <w:bookmarkStart w:id="22" w:name="corporate-ipo-ma"/>
    <w:p>
      <w:pPr>
        <w:pStyle w:val="Heading2"/>
      </w:pPr>
      <w:r>
        <w:t xml:space="preserve">6. Corporate IPO &amp; M&amp;A</w:t>
      </w:r>
    </w:p>
    <w:bookmarkStart w:id="21" w:name="X5db1801e6b5463b072310c60fb67f67c852767c"/>
    <w:p>
      <w:pPr>
        <w:pStyle w:val="Heading3"/>
      </w:pPr>
      <w:r>
        <w:t xml:space="preserve">Anker Innovations debuts in Hong Kong with a HK$4,631.6M offering</w:t>
      </w:r>
    </w:p>
    <w:p>
      <w:pPr>
        <w:pStyle w:val="FirstParagraph"/>
      </w:pPr>
      <w:r>
        <w:t xml:space="preserve">Anker Innovations Technology Co., Ltd. (stock code 00668.HK) began trading on the Main Board of the Stock Exchange of Hong Kong at 9:00 a.m. on July 2, 2026, in board lots of 100 H shares, pricing its global offering at HK$99.32 per H share for gross proceeds of about HK$4,631.6 million (roughly USD 593 million) and net proceeds of about HK$4,522.7 million.</w:t>
      </w:r>
    </w:p>
    <w:p>
      <w:pPr>
        <w:pStyle w:val="BodyText"/>
      </w:pPr>
      <w:r>
        <w:t xml:space="preserve">The deal drew heavy demand. Of 46,632,800 H shares offered globally, the 4,663,300-share Hong Kong Public Offering was oversubscribed 27.57 times and the 41,969,500-share International Offering 10.24 times. CICC, Goldman Sachs, and JPMorgan acted as joint sponsors.</w:t>
      </w:r>
    </w:p>
    <w:p>
      <w:pPr>
        <w:pStyle w:val="BodyText"/>
      </w:pPr>
      <w:r>
        <w:t xml:space="preserve">The Shenzhen-headquartered company, founded in 2011, is the world’s number-one mobile charging products maker by 2025 revenue and now sells across more than 100 countries — power stations, wireless audio, smart-home devices. The Hong Kong float sits alongside its existing A-share listing on Shenzhen’s ChiNext board, giving Anker an A+H dual-listing structure and a hard-currency channel to fund overseas expansion as it diversifies beyond charging accessories.</w:t>
      </w:r>
    </w:p>
    <w:p>
      <w:pPr>
        <w:pStyle w:val="BodyText"/>
      </w:pPr>
      <w:r>
        <w:rPr>
          <w:b/>
          <w:bCs/>
        </w:rPr>
        <w:t xml:space="preserve">References</w:t>
      </w:r>
    </w:p>
    <w:p>
      <w:pPr>
        <w:pStyle w:val="BodyText"/>
      </w:pPr>
      <w:r>
        <w:t xml:space="preserve">[23] Minichart. (2026, July 1). Anker Innovations Technology Co., Ltd. announces global offering and allotment results for HKEX listing. Minichart. https://www.minichart.com.sg/2026/07/01/anker-innovations-technology-co-ltd-announces-global-offering-and-allotment-results-for-hkex-listing-2026/</w:t>
      </w:r>
      <w:r>
        <w:t xml:space="preserve"> </w:t>
      </w:r>
      <w:r>
        <w:t xml:space="preserve">[24] HKEX. (2026, June 23). Anker Innovations Technology Co., Ltd. global offering. HKEXnews. https://www1.hkexnews.hk/listedco/listconews/sehk/2026/0623/2026062300037.pdf</w:t>
      </w:r>
      <w:r>
        <w:t xml:space="preserve"> </w:t>
      </w:r>
      <w:r>
        <w:t xml:space="preserve">[25] ACN Newswire. (2026, June 23). Anker Innovations announces the listing plan on the Main Board of HKEX with a maximum fundraising of HK$4,631.6 million. The Globe and Mail. https://www.theglobeandmail.com/investing/markets/markets-news/ACN/2594243/anker-innovations-announces-the-listing-plan-on-the-main-board-of-hkex-with-a-maximum-fundraising-of-hk4-631-6-million/</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21"/>
    <w:bookmarkEnd w:id="22"/>
    <w:bookmarkStart w:id="23" w:name="other-notable-events"/>
    <w:p>
      <w:pPr>
        <w:pStyle w:val="Heading2"/>
      </w:pPr>
      <w:r>
        <w:t xml:space="preserve">7. Other Notable Events</w:t>
      </w:r>
    </w:p>
    <w:p>
      <w:pPr>
        <w:pStyle w:val="FirstParagraph"/>
      </w:pPr>
      <w:r>
        <w:rPr>
          <w:i/>
          <w:iCs/>
        </w:rPr>
        <w:t xml:space="preserve">Note: only 0 stories met T1-T4 standards for this category today.</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2026-07-02T09:04:31Z</dcterms:created>
  <dcterms:modified xsi:type="dcterms:W3CDTF">2026-07-02T09:04:31Z</dcterms:modified>
</cp:coreProperties>
</file>

<file path=docProps/custom.xml><?xml version="1.0" encoding="utf-8"?>
<Properties xmlns="http://schemas.openxmlformats.org/officeDocument/2006/custom-properties" xmlns:vt="http://schemas.openxmlformats.org/officeDocument/2006/docPropsVTypes"/>
</file>