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2026年6月17日</w:t>
      </w:r>
    </w:p>
    <w:p/>
    <w:p>
      <w:pPr>
        <w:pStyle w:val="ListParagraph"/>
        <w:numPr>
          <w:ilvl w:val="0"/>
          <w:numId w:val="8"/>
        </w:numPr>
      </w:pPr>
      <w:r>
        <w:rPr>
          <w:rFonts w:ascii="FangSong_GB2312" w:hAnsi="FangSong_GB2312" w:eastAsia="FangSong_GB2312"/>
          <w:b/>
          <w:sz w:val="21"/>
        </w:rPr>
        <w:t>美联储维持利率不变沃尔什主持首秀</w:t>
      </w:r>
    </w:p>
    <w:p>
      <w:pPr>
        <w:pStyle w:val="ListParagraph"/>
        <w:numPr>
          <w:ilvl w:val="0"/>
          <w:numId w:val="8"/>
        </w:numPr>
      </w:pPr>
      <w:r>
        <w:rPr>
          <w:rFonts w:ascii="FangSong_GB2312" w:hAnsi="FangSong_GB2312" w:eastAsia="FangSong_GB2312"/>
          <w:b/>
          <w:sz w:val="21"/>
        </w:rPr>
        <w:t>布伦特原油跌破80美元美伊重开霍尔木兹</w:t>
      </w:r>
    </w:p>
    <w:p>
      <w:pPr>
        <w:pStyle w:val="ListParagraph"/>
        <w:numPr>
          <w:ilvl w:val="0"/>
          <w:numId w:val="8"/>
        </w:numPr>
      </w:pPr>
      <w:r>
        <w:rPr>
          <w:rFonts w:ascii="FangSong_GB2312" w:hAnsi="FangSong_GB2312" w:eastAsia="FangSong_GB2312"/>
          <w:b/>
          <w:sz w:val="21"/>
        </w:rPr>
        <w:t>SpaceX以600亿美元全股票收购Cursor</w:t>
      </w:r>
    </w:p>
    <w:p>
      <w:pPr>
        <w:pStyle w:val="ListParagraph"/>
        <w:numPr>
          <w:ilvl w:val="0"/>
          <w:numId w:val="8"/>
        </w:numPr>
      </w:pPr>
      <w:r>
        <w:rPr>
          <w:rFonts w:ascii="FangSong_GB2312" w:hAnsi="FangSong_GB2312" w:eastAsia="FangSong_GB2312"/>
          <w:b/>
          <w:sz w:val="21"/>
        </w:rPr>
        <w:t>英国5月CPI维持2.8%交通费同比跳涨6.8%</w:t>
      </w:r>
    </w:p>
    <w:p>
      <w:pPr>
        <w:pStyle w:val="ListParagraph"/>
        <w:numPr>
          <w:ilvl w:val="0"/>
          <w:numId w:val="8"/>
        </w:numPr>
      </w:pPr>
      <w:r>
        <w:rPr>
          <w:rFonts w:ascii="FangSong_GB2312" w:hAnsi="FangSong_GB2312" w:eastAsia="FangSong_GB2312"/>
          <w:b/>
          <w:sz w:val="21"/>
        </w:rPr>
        <w:t>G7峰会英法领衔霍尔木兹护航加码援乌</w:t>
      </w:r>
    </w:p>
    <w:p>
      <w:pPr>
        <w:pStyle w:val="ListParagraph"/>
        <w:numPr>
          <w:ilvl w:val="0"/>
          <w:numId w:val="8"/>
        </w:numPr>
      </w:pPr>
      <w:r>
        <w:rPr>
          <w:rFonts w:ascii="FangSong_GB2312" w:hAnsi="FangSong_GB2312" w:eastAsia="FangSong_GB2312"/>
          <w:b/>
          <w:sz w:val="21"/>
        </w:rPr>
        <w:t>欧元区5月通胀终值升至3.2%三年新高</w:t>
      </w:r>
    </w:p>
    <w:p>
      <w:pPr>
        <w:pStyle w:val="ListParagraph"/>
        <w:numPr>
          <w:ilvl w:val="0"/>
          <w:numId w:val="8"/>
        </w:numPr>
      </w:pPr>
      <w:r>
        <w:rPr>
          <w:rFonts w:ascii="FangSong_GB2312" w:hAnsi="FangSong_GB2312" w:eastAsia="FangSong_GB2312"/>
          <w:b/>
          <w:sz w:val="21"/>
        </w:rPr>
        <w:t>欧洲议会通过史上最严遣返条例拘留延至两年</w:t>
      </w:r>
    </w:p>
    <w:p>
      <w:pPr>
        <w:pStyle w:val="ListParagraph"/>
        <w:numPr>
          <w:ilvl w:val="0"/>
          <w:numId w:val="8"/>
        </w:numPr>
      </w:pPr>
      <w:r>
        <w:rPr>
          <w:rFonts w:ascii="FangSong_GB2312" w:hAnsi="FangSong_GB2312" w:eastAsia="FangSong_GB2312"/>
          <w:b/>
          <w:sz w:val="21"/>
        </w:rPr>
        <w:t>何立峰陆家嘴论坛释放金融反制裁立法信号</w:t>
      </w:r>
    </w:p>
    <w:p>
      <w:pPr>
        <w:pStyle w:val="ListParagraph"/>
        <w:numPr>
          <w:ilvl w:val="0"/>
          <w:numId w:val="8"/>
        </w:numPr>
      </w:pPr>
      <w:r>
        <w:rPr>
          <w:rFonts w:ascii="FangSong_GB2312" w:hAnsi="FangSong_GB2312" w:eastAsia="FangSong_GB2312"/>
          <w:b/>
          <w:sz w:val="21"/>
        </w:rPr>
        <w:t>吴清宣布支持沪深交易所推主动管理ETF</w:t>
      </w:r>
    </w:p>
    <w:p>
      <w:pPr>
        <w:pStyle w:val="ListParagraph"/>
        <w:numPr>
          <w:ilvl w:val="0"/>
          <w:numId w:val="8"/>
        </w:numPr>
      </w:pPr>
      <w:r>
        <w:rPr>
          <w:rFonts w:ascii="FangSong_GB2312" w:hAnsi="FangSong_GB2312" w:eastAsia="FangSong_GB2312"/>
          <w:b/>
          <w:sz w:val="21"/>
        </w:rPr>
        <w:t>日本央行加息至1%创1995年以来新高</w:t>
      </w:r>
    </w:p>
    <w:p>
      <w:pPr>
        <w:pStyle w:val="ListParagraph"/>
        <w:numPr>
          <w:ilvl w:val="0"/>
          <w:numId w:val="8"/>
        </w:numPr>
      </w:pPr>
      <w:r>
        <w:rPr>
          <w:rFonts w:ascii="FangSong_GB2312" w:hAnsi="FangSong_GB2312" w:eastAsia="FangSong_GB2312"/>
          <w:b/>
          <w:sz w:val="21"/>
        </w:rPr>
        <w:t>日本5月出口同比增17%连续九月扩张</w:t>
      </w:r>
    </w:p>
    <w:p>
      <w:pPr>
        <w:pStyle w:val="ListParagraph"/>
        <w:numPr>
          <w:ilvl w:val="0"/>
          <w:numId w:val="8"/>
        </w:numPr>
      </w:pPr>
      <w:r>
        <w:rPr>
          <w:rFonts w:ascii="FangSong_GB2312" w:hAnsi="FangSong_GB2312" w:eastAsia="FangSong_GB2312"/>
          <w:b/>
          <w:sz w:val="21"/>
        </w:rPr>
        <w:t>铠侠市值超越丰田登顶日本上市公司</w:t>
      </w:r>
    </w:p>
    <w:p>
      <w:pPr>
        <w:pStyle w:val="ListParagraph"/>
        <w:numPr>
          <w:ilvl w:val="0"/>
          <w:numId w:val="8"/>
        </w:numPr>
      </w:pPr>
      <w:r>
        <w:rPr>
          <w:rFonts w:ascii="FangSong_GB2312" w:hAnsi="FangSong_GB2312" w:eastAsia="FangSong_GB2312"/>
          <w:b/>
          <w:sz w:val="21"/>
        </w:rPr>
        <w:t>KOSPI收涨1.58%创新高SK海力士单日飙5.84%</w:t>
      </w:r>
    </w:p>
    <w:p>
      <w:pPr>
        <w:pStyle w:val="ListParagraph"/>
        <w:numPr>
          <w:ilvl w:val="0"/>
          <w:numId w:val="8"/>
        </w:numPr>
      </w:pPr>
      <w:r>
        <w:rPr>
          <w:rFonts w:ascii="FangSong_GB2312" w:hAnsi="FangSong_GB2312" w:eastAsia="FangSong_GB2312"/>
          <w:b/>
          <w:sz w:val="21"/>
        </w:rPr>
        <w:t>韩美战略投资公司6月18日挂牌统筹3500亿美元</w:t>
      </w:r>
    </w:p>
    <w:p/>
    <w:p/>
    <w:p>
      <w:r>
        <w:rPr>
          <w:rFonts w:ascii="FangSong_GB2312" w:hAnsi="FangSong_GB2312" w:eastAsia="FangSong_GB2312"/>
          <w:b/>
          <w:sz w:val="24"/>
        </w:rPr>
        <w:t>1.美联储维持利率不变沃尔什主持首秀</w:t>
      </w:r>
    </w:p>
    <w:p>
      <w:r>
        <w:rPr>
          <w:rFonts w:ascii="FangSong_GB2312" w:hAnsi="FangSong_GB2312" w:eastAsia="FangSong_GB2312"/>
          <w:b w:val="0"/>
          <w:sz w:val="21"/>
        </w:rPr>
        <w:t>美国联邦公开市场委员会6月17日结束为期两天议息会议，决定将联邦基金利率目标区间维持在3.50%–3.75%不变，为2025年12月降息以来第四次按兵不动，会前CME FedWatch数据显示市场预期维持不变概率高达约97%。本次会议是新任美联储主席沃尔什（Kevin Warsh）履新后首场FOMC，其5月13日以54比45票获参议院确认、成为美国历史上党派分歧最严重的一次美联储主席任命，5月22日宣誓就职；沃尔什素来主张对前瞻指引采取"less-is-more"克制策略，市场预期其本次将不披露个人利率点阵预测，美银提示至少有三位与会者可能在最新经济预测摘要中上调利率路径。背景层面，5月CPI同比上涨4.2%创三年新高，主因伊朗战事推动能源成本飙升23.5%，核心通胀亦升至2.9%，使美联储在抗通胀与经济放缓之间陷入两难；同日公布的5月零售销售环比仅增0.1%，较4月上修后的+0.5%明显回落，国家零售联合会评价消费者状况仍属"reasonably healthy"但提醒下半年增长存疑。 [1]</w:t>
      </w:r>
    </w:p>
    <w:p/>
    <w:p>
      <w:r>
        <w:rPr>
          <w:rFonts w:ascii="FangSong_GB2312" w:hAnsi="FangSong_GB2312" w:eastAsia="FangSong_GB2312"/>
          <w:b/>
          <w:sz w:val="24"/>
        </w:rPr>
        <w:t>2.布伦特原油跌破80美元美伊重开霍尔木兹</w:t>
      </w:r>
    </w:p>
    <w:p>
      <w:r>
        <w:rPr>
          <w:rFonts w:ascii="FangSong_GB2312" w:hAnsi="FangSong_GB2312" w:eastAsia="FangSong_GB2312"/>
          <w:b w:val="0"/>
          <w:sz w:val="21"/>
        </w:rPr>
        <w:t>布伦特原油期货6月16日收报每桶78.45美元、单日大跌4.7%，为3月初以来首度跌破80美元关口，美国WTI原油亦下挫4.8%至每桶80.75美元、但年内累计涨幅仍约40%。驱动因素是美国与伊朗6月15日达成临时和平协议，将既有停火协议延长60天，并约定霍尔木兹海峡重新开放、不附加任何"restrictions or tolls"，能源运输瓶颈缓解后市场避险情绪回落，美国10年期国债收益率回落至4.43%创三周新低。美股表现分化，能源板块受拖累，Chevron、Marathon Petroleum、Phillips 66集体走低，取暖油与批发汽油价格分别下跌3.5%与2.5%；三大股指方面，道指收涨0.6%至51,999点，标普500下跌0.6%至7,511点，纳指因Nvidia 250亿美元投资级债券发行拖累科技板块下挫1.2%至26,376点——Nvidia本笔为其史上最大单笔债务交易、获3.4倍超额认购，所筹资金主要用于AI算力基础设施扩张。 [2]</w:t>
      </w:r>
    </w:p>
    <w:p/>
    <w:p>
      <w:r>
        <w:rPr>
          <w:rFonts w:ascii="FangSong_GB2312" w:hAnsi="FangSong_GB2312" w:eastAsia="FangSong_GB2312"/>
          <w:b/>
          <w:sz w:val="24"/>
        </w:rPr>
        <w:t>3.SpaceX以600亿美元全股票收购Cursor</w:t>
      </w:r>
    </w:p>
    <w:p>
      <w:r>
        <w:rPr>
          <w:rFonts w:ascii="FangSong_GB2312" w:hAnsi="FangSong_GB2312" w:eastAsia="FangSong_GB2312"/>
          <w:b w:val="0"/>
          <w:sz w:val="21"/>
        </w:rPr>
        <w:t>SpaceX 6月16日宣布与AI编程助手Cursor母公司Anysphere Inc.达成最终收购协议，对价600亿美元全股票、交易拟于2026年第三季度完成、尚待监管批准，这是SpaceX 6月11日在纳斯达克以135美元/股完成史上最大IPO仅五日后的首笔重大并购，也是除马斯克（Elon Musk）旗下xAI内部并购外史上规模最大的风投支持初创公司收购案。SpaceX IPO首日收报160.95美元、较发行价上涨19%，对应隐含市值约2.1万亿美元；本次交易实质上是SpaceX 2026年4月预先锁定的选择权之行权——彼时已获得"约100亿美元战略合作"或"600亿美元全资收购"二选一权利，最终选择后者。被收购方Cursor当前年化营收约26亿美元，交易完成后SpaceX-SPCX将与Anthropic、OpenAI形成直接竞争格局、预计须接受美国联邦贸易委员会严格审查。同期Anthropic与美国政府关于恢复其Fable 5模型对外访问的谈判截至6月17日仍未达成协议、模型已连续第六天停服，凸显前沿AI出口管制对行业格局的结构性冲击。 [3]</w:t>
      </w:r>
    </w:p>
    <w:p/>
    <w:p>
      <w:r>
        <w:rPr>
          <w:rFonts w:ascii="FangSong_GB2312" w:hAnsi="FangSong_GB2312" w:eastAsia="FangSong_GB2312"/>
          <w:b/>
          <w:sz w:val="24"/>
        </w:rPr>
        <w:t>4.英国5月CPI维持2.8%交通费同比跳涨6.8%</w:t>
      </w:r>
    </w:p>
    <w:p>
      <w:r>
        <w:rPr>
          <w:rFonts w:ascii="FangSong_GB2312" w:hAnsi="FangSong_GB2312" w:eastAsia="FangSong_GB2312"/>
          <w:b w:val="0"/>
          <w:sz w:val="21"/>
        </w:rPr>
        <w:t>英国5月CPI同比上涨2.8%、与4月持平，CPIH同比上涨3.0%，核心CPI为2.6%，环比单月上行0.3%，国家统计局6月17日发布的数据显示最大单一推手来自交通——同比涨幅6.8%为2022年12月以来最高，主要受车用燃油价格上行拉动。这一节奏与今年春季以来霍尔木兹海峡局势推高布伦特原油的轨迹一致，5月以来海峡商船通行长期受阻、部分炼厂被迫支付更高现货溢价并向零售端传导；食品与非酒精饮料同比涨幅则降至2.2%为2024年12月以来最低，提示家庭"超市账单"压力正让位于"加油站账单"压力。数据公布次日即6月18日BoE货币政策委员会将公布利率决议，市场普遍预期维持3.75%不变——该水平自2025年12月降息25个基点后已连续保持，今年下半年再降息的概率正被中东风险压低，部分机构（如牛津经济研究院）已将"按兵不动延续至2027年初"列入基准情景。 [4]</w:t>
      </w:r>
    </w:p>
    <w:p/>
    <w:p>
      <w:r>
        <w:rPr>
          <w:rFonts w:ascii="FangSong_GB2312" w:hAnsi="FangSong_GB2312" w:eastAsia="FangSong_GB2312"/>
          <w:b/>
          <w:sz w:val="24"/>
        </w:rPr>
        <w:t>5.G7峰会英法领衔霍尔木兹护航加码援乌</w:t>
      </w:r>
    </w:p>
    <w:p>
      <w:r>
        <w:rPr>
          <w:rFonts w:ascii="FangSong_GB2312" w:hAnsi="FangSong_GB2312" w:eastAsia="FangSong_GB2312"/>
          <w:b w:val="0"/>
          <w:sz w:val="21"/>
        </w:rPr>
        <w:t>第52届G7峰会6月15日至17日在法国埃维昂莱班（Évian-les-Bains）召开，闭幕日发表的《领导人地缘政治议题声明》由首相基尔·斯塔默（Keir Starmer）等七国领导人及欧盟代表共同签署，授权英国与法国联合主导一项新的"防御性"海上行动进入霍尔木兹海峡保护商船通行——自2月底美以对伊朗发动空袭、伊朗革命卫队封锁海峡以来该水道已发生42起涉商船和海上设施的事件，英法接手意味着在美军"自由计划"护航之外再叠加一层欧洲海军覆盖。声明同时"欢迎"6月初达成的美伊核协议框架并承诺为落实提供外交支持，七国包括斯塔默均承诺加码对乌防空与远程精确打击能力供应，并在2022年以来欧洲约2000亿欧元援助基础上再追加900亿欧元对乌欧盟贷款；针对俄罗斯油气出口的制裁将进一步收紧，声明重申反对在印太海域、包括南海与台湾海峡单方面改变现状。东道主法国推动设立常设G7关键矿产秘书处的提议遭美方否决，反映G7内部在对华博弈节奏上的分歧——中国目前控制全球约85%的稀土加工产能、欧盟全部重稀土仍依赖自华进口。 [5]</w:t>
      </w:r>
    </w:p>
    <w:p/>
    <w:p>
      <w:r>
        <w:rPr>
          <w:rFonts w:ascii="FangSong_GB2312" w:hAnsi="FangSong_GB2312" w:eastAsia="FangSong_GB2312"/>
          <w:b/>
          <w:sz w:val="24"/>
        </w:rPr>
        <w:t>6.欧元区5月通胀终值升至3.2%三年新高</w:t>
      </w:r>
    </w:p>
    <w:p>
      <w:r>
        <w:rPr>
          <w:rFonts w:ascii="FangSong_GB2312" w:hAnsi="FangSong_GB2312" w:eastAsia="FangSong_GB2312"/>
          <w:b w:val="0"/>
          <w:sz w:val="21"/>
        </w:rPr>
        <w:t>欧元区5月调和消费者价格指数同比上涨3.2%、较4月3.0%继续走高，为2023年9月以来最高读数，欧盟统计局6月17日确认的数据显示月环比上涨0.1%、欧盟整体读数从4月3.2%升至3.3%。推升通胀的核心动力来自能源与服务两端，能源价格同比上涨10.9%，服务通胀从3.0%跳升至3.5%，剔除能源与未加工食品的核心通胀升至2.6%、高于6月2日快报初值2.5%、并较4月2.2%水平大幅反弹；成员国之间分化明显，西班牙以3.6%居前、德国2.7%、瑞典1.1%为全欧最低，东南欧的罗马尼亚以9.7%领跑反映货币贬值与能源补贴退坡的叠加冲击。此次确认数据与ECB理事会6月11日的政策决议形成直接呼应——当日宣布将三大关键利率上调25个基点、存款便利利率升至2.25%、于6月17日生效，是ECB自2023年9月结束加息周期后的首次再度紧缩，央行将本轮加息归因于中东冲突带来的输入性通胀压力，核心终值上修0.1个百分点意味着粘性通胀回升幅度超出市场预期。 [6]</w:t>
      </w:r>
    </w:p>
    <w:p/>
    <w:p>
      <w:r>
        <w:rPr>
          <w:rFonts w:ascii="FangSong_GB2312" w:hAnsi="FangSong_GB2312" w:eastAsia="FangSong_GB2312"/>
          <w:b/>
          <w:sz w:val="24"/>
        </w:rPr>
        <w:t>7.欧洲议会通过史上最严遣返条例拘留延至两年</w:t>
      </w:r>
    </w:p>
    <w:p>
      <w:r>
        <w:rPr>
          <w:rFonts w:ascii="FangSong_GB2312" w:hAnsi="FangSong_GB2312" w:eastAsia="FangSong_GB2312"/>
          <w:b w:val="0"/>
          <w:sz w:val="21"/>
        </w:rPr>
        <w:t>欧洲议会6月17日在斯特拉斯堡全会以418票赞成、218票反对、30票弃权通过新版《遣返条例》，将非法滞留移民的最长行政拘留期从现行的6个月延长至2年（每次延期6个月、对涉安全风险者可无限延长），入境禁令时限由5年延长至10年、对涉安全人员可终身禁入。法案由公民自由委员会6月15日通过、闭门审议历时不足48小时即提交全会表决；表决格局上，中右翼欧洲人民党党团与欧洲保守与改革党团、爱国者党团及主权国家欧洲党团联手通过法案，社民党党团副主席安娜·卡塔琳娜·门德斯（Ana Catarina Mendes）警告该条例"可能将仅在几年前的欧盟还难以想象的、法律上存疑的做法常态化"。新规取代沿用近20年的2008年版《遣返指令》，是2024年通过的《欧盟移民与庇护新公约》6月12日正式生效后落地的首项重大配套立法；以"条例"而非"指令"形式立法意味着规则可绕过成员国转化程序直接适用，对各国行政裁量空间形成更强约束。 [7]</w:t>
      </w:r>
    </w:p>
    <w:p/>
    <w:p>
      <w:r>
        <w:rPr>
          <w:rFonts w:ascii="FangSong_GB2312" w:hAnsi="FangSong_GB2312" w:eastAsia="FangSong_GB2312"/>
          <w:b/>
          <w:sz w:val="24"/>
        </w:rPr>
        <w:t>8.何立峰陆家嘴论坛释放金融反制裁立法信号</w:t>
      </w:r>
    </w:p>
    <w:p>
      <w:r>
        <w:rPr>
          <w:rFonts w:ascii="FangSong_GB2312" w:hAnsi="FangSong_GB2312" w:eastAsia="FangSong_GB2312"/>
          <w:b w:val="0"/>
          <w:sz w:val="21"/>
        </w:rPr>
        <w:t>中共中央政治局委员、国务院副总理何立峰6月17日上午在上海陆家嘴论坛开幕式发表主旨演讲，公开表态要运用金融法律工具反制"不合理的外部打压"，透露正在审议中的金融法草案将明确写入阻断和反制"不正当单边制裁"的条款，并将在其他金融立法中陆续增设类似阻断与反制规定，逐步充实中国的"金融法律工具箱"——这是2021年《反外国制裁法》落地后北京首次将反制裁机制系统性写入金融领域专门立法。表态的宏观背景是国家统计局6月16日公布的5月经济数据：社会消费品零售总额同比下降0.6%、为2022年末走出疫情封控以来首次转负，1—5月固定资产投资同比下降4.1%，5月70城新建商品住宅价格环比下跌0.2%。何立峰同时重申将稳步扩大金融业制度型开放、欢迎各国金融机构深耕中国市场。 [8]</w:t>
      </w:r>
    </w:p>
    <w:p/>
    <w:p>
      <w:r>
        <w:rPr>
          <w:rFonts w:ascii="FangSong_GB2312" w:hAnsi="FangSong_GB2312" w:eastAsia="FangSong_GB2312"/>
          <w:b/>
          <w:sz w:val="24"/>
        </w:rPr>
        <w:t>9.吴清宣布支持沪深交易所推主动管理ETF</w:t>
      </w:r>
    </w:p>
    <w:p>
      <w:r>
        <w:rPr>
          <w:rFonts w:ascii="FangSong_GB2312" w:hAnsi="FangSong_GB2312" w:eastAsia="FangSong_GB2312"/>
          <w:b w:val="0"/>
          <w:sz w:val="21"/>
        </w:rPr>
        <w:t>中国证监会主席吴清6月17日在陆家嘴论坛宣布将支持上海证券交易所和深圳证券交易所推出主动管理型ETF产品，相关业务规则和首批产品时间表尚未公布，这一表态意味着中国境内ETF市场将从此前以宽基指数和"增强指数"型为主、迈向真正的主动选股ETF阶段——按现行规则境内"增强指数型"ETF与标的指数的偏离度不得超过20%、完全主动管理此前并不被许可。中国境内ETF规模已突破2万亿元人民币、是全球第二大股票市场重要的新增量，该产品线扩容也将填补境内与美国、香港等成熟市场之间的产品空缺。摩根资产管理首席执行官George Gatch此前公开表示正争取年内取得监管放行、率先在中国境内发行主动管理ETF；摩根资管已凭借约2570亿美元主动ETF规模超越Dimensional Fund Advisors、成为全球最大主动ETF管理人。 [9]</w:t>
      </w:r>
    </w:p>
    <w:p/>
    <w:p>
      <w:r>
        <w:rPr>
          <w:rFonts w:ascii="FangSong_GB2312" w:hAnsi="FangSong_GB2312" w:eastAsia="FangSong_GB2312"/>
          <w:b/>
          <w:sz w:val="24"/>
        </w:rPr>
        <w:t>10.日本央行加息至1%创1995年以来新高</w:t>
      </w:r>
    </w:p>
    <w:p>
      <w:r>
        <w:rPr>
          <w:rFonts w:ascii="FangSong_GB2312" w:hAnsi="FangSong_GB2312" w:eastAsia="FangSong_GB2312"/>
          <w:b w:val="0"/>
          <w:sz w:val="21"/>
        </w:rPr>
        <w:t>日本央行6月16日以7比1投票将基准利率上调25个基点至1.0%、6月17日起生效，为1995年以来最高水平、31年新高，会议于6月15日至16日召开，行长植田和男因肝囊肿感染住院缺席、由副行长内田真一主持发布，审议委员浅田统一郎投下唯一反对票、理由是生产和就业的下行风险大于物价的上行风险。央行在公告中称日本经济"在企业高利润、就业和收入改善的支撑下整体稳健"，并明确表示将"继续上调政策利率、调整货币宽松程度"——这是自2024年退出负利率以来最直接的鹰派指引，决议背景是中东能源冲击推升输入型通胀、央行选择以加息巩固通胀目标可信度而非容忍能源价格通过日元再次走弱二次传导。市场反应剧烈，决议公布当日日经225指数盘中触及70,000点、是1989年泡沫顶峰以来首次，但日元仅一度回到约160.10水平反映市场已部分提前消化加息，隔夜利率掉期目前已为下半年再加25个基点至1.25%定价。 [10]</w:t>
      </w:r>
    </w:p>
    <w:p/>
    <w:p>
      <w:r>
        <w:rPr>
          <w:rFonts w:ascii="FangSong_GB2312" w:hAnsi="FangSong_GB2312" w:eastAsia="FangSong_GB2312"/>
          <w:b/>
          <w:sz w:val="24"/>
        </w:rPr>
        <w:t>11.日本5月出口同比增17%连续九月扩张</w:t>
      </w:r>
    </w:p>
    <w:p>
      <w:r>
        <w:rPr>
          <w:rFonts w:ascii="FangSong_GB2312" w:hAnsi="FangSong_GB2312" w:eastAsia="FangSong_GB2312"/>
          <w:b w:val="0"/>
          <w:sz w:val="21"/>
        </w:rPr>
        <w:t>日本5月出口额同比增长17%至9.51万亿日元、超过市场预期的16.2%、连续第九个月扩张，财务省6月17日公布的贸易统计显示半导体相关出口同比飙升61.2%是本月最强劲拉动项，全球AI数据中心建设浪潮持续推高对存储芯片、电子元件和制造设备的需求。按目的地拆分，对华出口同比增长17.9%、对美出口同比增长12.5%，但出口数量仅增长0.5%意味着金额端高增长仍主要由价格和日元贬值驱动而非真实订单放量。进口端同比增长12.5%，主要受能源结构重排扰动——受6月美国-以色列对伊朗军事行动牵动，中东原油进口量骤减61.9%而日本转向美国采购，美国原油进口量大增24%、美国石油制品进口量更暴增660%。综合之下5月贸易逆差为3787亿日元（约23.6亿美元）、是过去四个月首次出现逆差但远低于市场预期的5646亿日元，中东供应中断的代价正以更高能源进口账单回流至日本贸易账。 [11]</w:t>
      </w:r>
    </w:p>
    <w:p/>
    <w:p>
      <w:r>
        <w:rPr>
          <w:rFonts w:ascii="FangSong_GB2312" w:hAnsi="FangSong_GB2312" w:eastAsia="FangSong_GB2312"/>
          <w:b/>
          <w:sz w:val="24"/>
        </w:rPr>
        <w:t>12.铠侠市值超越丰田登顶日本上市公司</w:t>
      </w:r>
    </w:p>
    <w:p>
      <w:r>
        <w:rPr>
          <w:rFonts w:ascii="FangSong_GB2312" w:hAnsi="FangSong_GB2312" w:eastAsia="FangSong_GB2312"/>
          <w:b w:val="0"/>
          <w:sz w:val="21"/>
        </w:rPr>
        <w:t>铠侠控股6月12日盘中市值突破44万亿日元（约2740亿美元）、首次超越丰田汽车成为日本市值最高上市公司，当日股价上涨7.6%。这家NAND闪存厂商2026财年第一季度经营利润约1.3万亿日元（81亿美元）、同比增长28.9倍，是AI数据中心存储需求驱动的新一轮"内存超级周期"中最具标志性的盈利数字，自2024年12月IPO以来18个月间股价累计涨幅已超660%。公司却在资本开支上保持克制——2026至2028财年年均资本开支约4700亿日元、比2025财年高出约66%但仍远低于行业激进扩产水平，铠侠在投资策略说明中将其形容为"在增长与产能过剩之间走钢丝"，节制源于NAND行业过去两轮周期教训：2018年和2022年的过度扩产均导致价格雪崩、厂商集体亏损，而铠侠当下市值正建立在企业级高容量SSD的稀缺定价之上。丰田自2005年起长期占据日企市值榜首，铠侠以一家成立仅七年（前身为东芝存储业务）的存储芯片公司取而代之，意味着日本资本市场对"AI硬件"叙事的定价已全面盖过制造业旗舰。 [12]</w:t>
      </w:r>
    </w:p>
    <w:p/>
    <w:p>
      <w:r>
        <w:rPr>
          <w:rFonts w:ascii="FangSong_GB2312" w:hAnsi="FangSong_GB2312" w:eastAsia="FangSong_GB2312"/>
          <w:b/>
          <w:sz w:val="24"/>
        </w:rPr>
        <w:t>13.KOSPI收涨1.58%创新高SK海力士单日飙5.84%</w:t>
      </w:r>
    </w:p>
    <w:p>
      <w:r>
        <w:rPr>
          <w:rFonts w:ascii="FangSong_GB2312" w:hAnsi="FangSong_GB2312" w:eastAsia="FangSong_GB2312"/>
          <w:b w:val="0"/>
          <w:sz w:val="21"/>
        </w:rPr>
        <w:t>韩国综合股价指数6月17日收报8,864.24点、单日上涨137.64点涨幅1.58%、连续第五个交易日上扬并再度刷新历史纪录，半导体板块继续主导行情——SK海力士大涨5.84%至每股242.5万韩元的历史高位，三星电子上涨1.02%，当日韩元兑美元走强，国内个人与机构投资者合计净买入约1.1万亿韩元、外国投资者则净卖出9,923亿韩元，造船板块亦表现强劲，韩华海洋上涨3.02%、HD现代重工上涨1.29%。本轮涨势延续2026年以来全球高带宽内存超级周期的主线，SK海力士今年股价已累计上涨约250%、5月底市值首次突破1万亿美元，2026年全年HBM产能据报已被英伟达等客户预订一空、并于近期发布面向HBM5的内嵌式液冷技术"iHBM"；市场结构集中度创下新纪录，三星电子与SK海力士两家合计市值已占KOSPI总市值的42.2%。宏观层面，美国与伊朗近期达成停火安排提振全球风险偏好，加之市场普遍预期美联储主席沃尔什将维持利率不变，为亚洲股市提供进一步上行空间。 [13]</w:t>
      </w:r>
    </w:p>
    <w:p/>
    <w:p>
      <w:r>
        <w:rPr>
          <w:rFonts w:ascii="FangSong_GB2312" w:hAnsi="FangSong_GB2312" w:eastAsia="FangSong_GB2312"/>
          <w:b/>
          <w:sz w:val="24"/>
        </w:rPr>
        <w:t>14.韩美战略投资公司6月18日挂牌统筹3500亿美元</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韩美战略投资公司将于6月18日正式开始运营，由政府全额出资设立、法定资本2万亿韩元，公司依据2026年3月韩国国会通过的《韩美战略投资管理特别法》设立，主要职能是统筹规划期长达20年、总规模3,500亿美元的对美投资框架——其中1,500亿美元用于韩美造船业合作，2,000亿美元用于半导体、生物医药、关键矿产、能源、AI及量子科技等战略产业领域。牵头部委为产业通商资源部，公司董事会由企划财政部、产业通商资源部、金融服务委员会及私营部门代表组成，按法律安排对美投资规模每年上限为200亿美元、将按项目进度分批执行。该法案被外界普遍解读为韩国对特朗普政府关税压力的制度化回应——以一项明确的双边投资承诺置换对韩国半导体、汽车及钢铁等关键出口品的关税豁免空间；挂牌后首批项目预计聚焦造船产业链，韩华海洋、HD现代重工等已与多家美国海军供应链企业签署谅解备忘录，与同期推进中的加拿大潜艇项目共同构成韩国造船业"出海"的双引擎。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https://www.federalreserve.gov/newsevents/2026-june.htm</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https://www.cnbc.com/2026/06/16/us-iran-peace-agreement-oil-prices-tankers-strait-of-hormuz-transit.html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https://www.bloomberg.com/news/articles/2026-06-16/spacex-pounces-on-60-billion-cursor-takeover-days-after-ipo</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https://www.ons.gov.uk/economy/inflationandpriceindices/bulletins/consumerpriceinflation/may2026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https://www.elysee.fr/en/G7evian/2026/06/17/g7-leaders-statement-on-geopolitical-issues</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https://ec.europa.eu/eurostat/en/web/products-euro-indicators/w/2-17062026-ap</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https://www.euronews.com/my-europe/2026/06/17/eu-parliament-approves-strictest-ever-migration-law</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https://www.bloomberg.com/news/articles/2026-06-17/china-s-finance-chiefs-take-center-stage-with-economy-slumping</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https://www.bloomberg.com/news/articles/2026-06-17/china-s-regulator-to-support-launch-of-active-etf-products</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https://www.boj.or.jp/en/mopo/mpmdeci/mpr_2026/index.htm</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https://www.japantimes.co.jp/business/2026/06/17/economy/may-trade-balance/</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https://asia.nikkei.com/business/tech/semiconductors/why-kioxia-is-going-easy-on-capex-despite-ai-memory-boom</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https://www.koreaherald.com/article/10773980</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https://www.koreaherald.com/article/10624029</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