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06e755c7ad099bbc9be54edb8f2b8cea1b122eb"/>
    <w:p>
      <w:pPr>
        <w:pStyle w:val="Heading1"/>
      </w:pPr>
      <w:r>
        <w:t xml:space="preserve">Europe Daily News Intelligence — June 24, 2026</w:t>
      </w:r>
    </w:p>
    <w:bookmarkStart w:id="13" w:name="economy-markets"/>
    <w:p>
      <w:pPr>
        <w:pStyle w:val="Heading2"/>
      </w:pPr>
      <w:r>
        <w:t xml:space="preserve">1. Economy &amp; Markets</w:t>
      </w:r>
    </w:p>
    <w:bookmarkStart w:id="9" w:name="Xdcc0a674d0b06136a048821580ec5b53f8687e7"/>
    <w:p>
      <w:pPr>
        <w:pStyle w:val="Heading3"/>
      </w:pPr>
      <w:r>
        <w:t xml:space="preserve">ECB says five non-euro states made limited progress toward joining the single currency</w:t>
      </w:r>
    </w:p>
    <w:p>
      <w:pPr>
        <w:pStyle w:val="FirstParagraph"/>
      </w:pPr>
      <w:r>
        <w:t xml:space="preserve">None of the five EU states still outside the euro — the Czech Republic, Hungary, Poland, Romania and Sweden — is ready to adopt the currency, the European Central Bank concluded in its biennial Convergence Report published 24 June 2026. The report found that</w:t>
      </w:r>
      <w:r>
        <w:t xml:space="preserve"> </w:t>
      </w:r>
      <w:r>
        <w:t xml:space="preserve">“limited progress has been made on economic convergence with the euro area since 2024,”</w:t>
      </w:r>
      <w:r>
        <w:t xml:space="preserve"> </w:t>
      </w:r>
      <w:r>
        <w:t xml:space="preserve">blaming a run of external shocks: Russia’s war against Ukraine, global trade tensions and the Middle East conflict.</w:t>
      </w:r>
    </w:p>
    <w:p>
      <w:pPr>
        <w:pStyle w:val="BodyText"/>
      </w:pPr>
      <w:r>
        <w:t xml:space="preserve">The numbers tell the story unevenly across the five. On inflation, three of the five breached the 2.7% price-stability reference threshold — Romania significantly, Hungary and Poland moderately — while the Czech Republic and Sweden stayed below. On public finances, Hungary, Poland and Romania each blew past the 3% of GDP deficit limit in 2025 and now sit under EU excessive-deficit procedures, with no expected compliance before end-2027; debt ratios in Poland and Romania are projected to climb above 60% of GDP by 2026. On long-term interest rates, against a 5.1% benchmark, Poland came in at 5.4%, and both Hungary and Romania at 6.7%.</w:t>
      </w:r>
    </w:p>
    <w:p>
      <w:pPr>
        <w:pStyle w:val="BodyText"/>
      </w:pPr>
      <w:r>
        <w:t xml:space="preserve">The euro club is a fixed-criteria gate, not a political vote: candidates must hold inflation, deficits, debt, exchange-rate stability and interest rates within set bands, and align their central-bank law with EU treaties. None of the five currencies even participates in the ERM II exchange-rate mechanism, a mandatory two-year staging step. On the legal test, the ECB found</w:t>
      </w:r>
      <w:r>
        <w:t xml:space="preserve"> </w:t>
      </w:r>
      <w:r>
        <w:t xml:space="preserve">“none of the five countries under review was fully compatible with the requirements for the adoption of the euro,”</w:t>
      </w:r>
      <w:r>
        <w:t xml:space="preserve"> </w:t>
      </w:r>
      <w:r>
        <w:t xml:space="preserve">flagging governance gaps in Hungary and Romania in particular, while Sweden scored best on institutional quality.</w:t>
      </w:r>
    </w:p>
    <w:p>
      <w:pPr>
        <w:pStyle w:val="BodyText"/>
      </w:pPr>
      <w:r>
        <w:rPr>
          <w:b/>
          <w:bCs/>
        </w:rPr>
        <w:t xml:space="preserve">References</w:t>
      </w:r>
    </w:p>
    <w:p>
      <w:pPr>
        <w:pStyle w:val="BodyText"/>
      </w:pPr>
      <w:r>
        <w:t xml:space="preserve">[1] European Central Bank. (2026, June 24). ECB Convergence Report 2026. European Central Bank. https://www.ecb.europa.eu/press/pr/date/2026/html/ecb.pr260624~ec1dcac037.en.html</w:t>
      </w:r>
    </w:p>
    <w:p>
      <w:r>
        <w:pict>
          <v:rect style="width:0;height:1.5pt" o:hralign="center" o:hrstd="t" o:hr="t"/>
        </w:pict>
      </w:r>
    </w:p>
    <w:bookmarkEnd w:id="9"/>
    <w:bookmarkStart w:id="10" w:name="X7ffe74cfa1d5b90dd95222baa7f5e55f6210b6f"/>
    <w:p>
      <w:pPr>
        <w:pStyle w:val="Heading3"/>
      </w:pPr>
      <w:r>
        <w:t xml:space="preserve">Kazakhstan signs €10 billion in deals with Europe as Tokayev wraps Brussels visit</w:t>
      </w:r>
    </w:p>
    <w:p>
      <w:pPr>
        <w:pStyle w:val="FirstParagraph"/>
      </w:pPr>
      <w:r>
        <w:t xml:space="preserve">Air Astana ordered 50 Airbus A320-family aircraft worth €7.3 billion, the single largest of roughly 30 agreements signed in Brussels on 24 June 2026 as Kazakh President Kassym-Jomart Tokayev closed a state visit with a commercial forum worth about €10 billion. The Samruk Kazyna sovereign wealth fund accounted for €8.4 billion of the total, including a €967 million Alstom contract for locomotive maintenance, with the Airbus jets due from 2031.</w:t>
      </w:r>
    </w:p>
    <w:p>
      <w:pPr>
        <w:pStyle w:val="BodyText"/>
      </w:pPr>
      <w:r>
        <w:t xml:space="preserve">The deals came wrapped in new transport links. A Horizontal Aviation Agreement signed by EU Sustainable Transport Commissioner Apostolos Tzitzikostas and Kazakh Transport Minister Nurlan Sauranbayev lets any EU carrier fly between Kazakhstan and the 17 EU states that already hold bilateral air agreements with Astana. The European Investment Bank added a framework loan of up to €150 million to upgrade rail and road along the Trans-Caspian Transport Corridor — the so-called Middle Corridor that routes goods between China and Europe around Russia, a priority for Brussels since sanctions closed the northern route.</w:t>
      </w:r>
    </w:p>
    <w:p>
      <w:pPr>
        <w:pStyle w:val="BodyText"/>
      </w:pPr>
      <w:r>
        <w:t xml:space="preserve">European Commission President Ursula von der Leyen, who attended alongside European Council President António Costa and Trade Commissioner Maros Šefčovič, called Kazakhstan and Central Asia</w:t>
      </w:r>
      <w:r>
        <w:t xml:space="preserve"> </w:t>
      </w:r>
      <w:r>
        <w:t xml:space="preserve">“a natural global gateway,”</w:t>
      </w:r>
      <w:r>
        <w:t xml:space="preserve"> </w:t>
      </w:r>
      <w:r>
        <w:t xml:space="preserve">and the EU underlined Kazakhstan’s role as a source of strategic raw materials it is racing to secure away from Chinese supply. Tokayev told the forum that</w:t>
      </w:r>
      <w:r>
        <w:t xml:space="preserve"> </w:t>
      </w:r>
      <w:r>
        <w:t xml:space="preserve">“the European Union is our largest trading and investment partner.”</w:t>
      </w:r>
      <w:r>
        <w:t xml:space="preserve"> </w:t>
      </w:r>
      <w:r>
        <w:t xml:space="preserve">Bilateral trade topped $45 billion in 2025.</w:t>
      </w:r>
    </w:p>
    <w:p>
      <w:pPr>
        <w:pStyle w:val="BodyText"/>
      </w:pPr>
      <w:r>
        <w:rPr>
          <w:b/>
          <w:bCs/>
        </w:rPr>
        <w:t xml:space="preserve">References</w:t>
      </w:r>
    </w:p>
    <w:p>
      <w:pPr>
        <w:pStyle w:val="BodyText"/>
      </w:pPr>
      <w:r>
        <w:t xml:space="preserve">[2] Euronews. (2026, June 24). Kazakhstan signs €10bn in deals with Europe as Tokayev wraps Brussels visit. Euronews. https://www.euronews.com/2026/06/24/kazakhstan-signs-10bn-in-deals-with-europe-as-tokayev-wraps-brussels-visit</w:t>
      </w:r>
      <w:r>
        <w:t xml:space="preserve"> </w:t>
      </w:r>
      <w:r>
        <w:t xml:space="preserve">[3] Astana Times. (2026, June 24). Tokayev’s Brussels visit yields €12 billion in EU deals. Astana Times. https://astanatimes.com/2026/06/tokayevs-brussels-visit-yields-12-billion-in-eu-deals/</w:t>
      </w:r>
    </w:p>
    <w:p>
      <w:r>
        <w:pict>
          <v:rect style="width:0;height:1.5pt" o:hralign="center" o:hrstd="t" o:hr="t"/>
        </w:pict>
      </w:r>
    </w:p>
    <w:bookmarkEnd w:id="10"/>
    <w:bookmarkStart w:id="11" w:name="X530b72602409a5c7b5f7ae70bba97686aa118d9"/>
    <w:p>
      <w:pPr>
        <w:pStyle w:val="Heading3"/>
      </w:pPr>
      <w:r>
        <w:t xml:space="preserve">Fewer than 210 of 1,200 crypto firms licensed as MiCA grace period ends July 1</w:t>
      </w:r>
    </w:p>
    <w:p>
      <w:pPr>
        <w:pStyle w:val="FirstParagraph"/>
      </w:pPr>
      <w:r>
        <w:t xml:space="preserve">Fewer than 210 of the 1,200-plus firms that once held national crypto registrations across the EU have won full authorisation under the bloc’s Markets in Crypto-Assets Regulation (MiCA) — a conversion rate below 18% — with the transitional window closing on 1 July 2026. From that date, any firm without a licence must stop serving European customers or wind down; ESMA confirmed in April 2026 that no extension would be granted.</w:t>
      </w:r>
    </w:p>
    <w:p>
      <w:pPr>
        <w:pStyle w:val="BodyText"/>
      </w:pPr>
      <w:r>
        <w:t xml:space="preserve">MiCA is the EU’s first comprehensive crypto law, covering exchanges, brokers and wallet providers across all 27 member states. Its core promise is a single</w:t>
      </w:r>
      <w:r>
        <w:t xml:space="preserve"> </w:t>
      </w:r>
      <w:r>
        <w:t xml:space="preserve">“passport”</w:t>
      </w:r>
      <w:r>
        <w:t xml:space="preserve">: a licence granted in one member state lets a firm operate bloc-wide, replacing the patchwork of 27 national regimes. The price of entry is a full prudential rulebook — minimum capital, governance, customer-fund safeguards and anti-money-laundering compliance. Yamal Kalaf, co-founder of MiCAR Whitepapers Europe, said what emerges is</w:t>
      </w:r>
      <w:r>
        <w:t xml:space="preserve"> </w:t>
      </w:r>
      <w:r>
        <w:t xml:space="preserve">“a genuine single market replacing the old patchwork of 27 national regimes.”</w:t>
      </w:r>
    </w:p>
    <w:p>
      <w:pPr>
        <w:pStyle w:val="BodyText"/>
      </w:pPr>
      <w:r>
        <w:t xml:space="preserve">The low conversion rate has a sharp edge: Binance, the world’s largest exchange, faces an expected rejection of its licence application in Greece. Coinbase (licensed in Ireland), Kraken (Ireland and Luxembourg) and Revolut (Cyprus) are through the gate. Roshan Dharia, CEO of Echo Base, said many firms found MiCA</w:t>
      </w:r>
      <w:r>
        <w:t xml:space="preserve"> </w:t>
      </w:r>
      <w:r>
        <w:t xml:space="preserve">“not economically viable,”</w:t>
      </w:r>
      <w:r>
        <w:t xml:space="preserve"> </w:t>
      </w:r>
      <w:r>
        <w:t xml:space="preserve">while Floortje Nagelkerke of Norton Rose Fulbright expects</w:t>
      </w:r>
      <w:r>
        <w:t xml:space="preserve"> </w:t>
      </w:r>
      <w:r>
        <w:t xml:space="preserve">“consolidation and transfer of clients”</w:t>
      </w:r>
      <w:r>
        <w:t xml:space="preserve"> </w:t>
      </w:r>
      <w:r>
        <w:t xml:space="preserve">as smaller players hand customers to licensed custodians. A parallel tax-reporting regime, the Crypto-Asset Reporting Framework under DAC8, took effect on 1 January 2026, with the first cross-border data exchanges due in 2027.</w:t>
      </w:r>
    </w:p>
    <w:p>
      <w:pPr>
        <w:pStyle w:val="BodyText"/>
      </w:pPr>
      <w:r>
        <w:rPr>
          <w:b/>
          <w:bCs/>
        </w:rPr>
        <w:t xml:space="preserve">References</w:t>
      </w:r>
    </w:p>
    <w:p>
      <w:pPr>
        <w:pStyle w:val="BodyText"/>
      </w:pPr>
      <w:r>
        <w:t xml:space="preserve">[4] Euronews. (2026, June 24). Europe’s crypto reset: MiCA creates a single market as hundreds of firms face exit. Euronews. https://www.euronews.com/business/2026/06/24/europes-crypto-reset-mica-creates-a-single-market-as-hundreds-of-firms-face-exit</w:t>
      </w:r>
    </w:p>
    <w:p>
      <w:r>
        <w:pict>
          <v:rect style="width:0;height:1.5pt" o:hralign="center" o:hrstd="t" o:hr="t"/>
        </w:pict>
      </w:r>
    </w:p>
    <w:bookmarkEnd w:id="11"/>
    <w:bookmarkStart w:id="12" w:name="Xd2f6fde6b008a2cba6861649a2e0d4e72944ead"/>
    <w:p>
      <w:pPr>
        <w:pStyle w:val="Heading3"/>
      </w:pPr>
      <w:r>
        <w:t xml:space="preserve">EU competition chief Ribera warns governments not to block cross-border bank mergers</w:t>
      </w:r>
    </w:p>
    <w:p>
      <w:pPr>
        <w:pStyle w:val="FirstParagraph"/>
      </w:pPr>
      <w:r>
        <w:t xml:space="preserve">Cross-border bank mergers that benefit the single market</w:t>
      </w:r>
      <w:r>
        <w:t xml:space="preserve"> </w:t>
      </w:r>
      <w:r>
        <w:t xml:space="preserve">“should be welcome,”</w:t>
      </w:r>
      <w:r>
        <w:t xml:space="preserve"> </w:t>
      </w:r>
      <w:r>
        <w:t xml:space="preserve">EU competition chief Teresa Ribera said in a Bloomberg TV interview on 24 June 2026, warning that member states risk overusing tactics such as citing security concerns to</w:t>
      </w:r>
      <w:r>
        <w:t xml:space="preserve"> </w:t>
      </w:r>
      <w:r>
        <w:t xml:space="preserve">“stymie bank deals needed to boost the economy.”</w:t>
      </w:r>
      <w:r>
        <w:t xml:space="preserve"> </w:t>
      </w:r>
      <w:r>
        <w:t xml:space="preserve">Ribera, an Executive Vice-President of the European Commission, said governments</w:t>
      </w:r>
      <w:r>
        <w:t xml:space="preserve"> </w:t>
      </w:r>
      <w:r>
        <w:t xml:space="preserve">“should applaud these deals for the overall good.”</w:t>
      </w:r>
    </w:p>
    <w:p>
      <w:pPr>
        <w:pStyle w:val="BodyText"/>
      </w:pPr>
      <w:r>
        <w:t xml:space="preserve">The intervention was a pointed response to Berlin. Days earlier the German government formally rejected UniCredit’s €39 billion takeover bid for Commerzbank, arguing the all-share offer carried too thin a premium. UniCredit nonetheless now holds 42.5% of the Frankfurt lender after its voluntary exchange offer concluded on 16 June, leaving the Italian bank as Commerzbank’s dominant shareholder despite the state’s resistance. The federal government, which retains roughly 12%, wants Commerzbank to stay independent.</w:t>
      </w:r>
    </w:p>
    <w:p>
      <w:pPr>
        <w:pStyle w:val="BodyText"/>
      </w:pPr>
      <w:r>
        <w:t xml:space="preserve">Ribera’s words mark the highest-level EU competition-policy signal on European banking consolidation since UniCredit CEO Andrea Orcel began circling Commerzbank in late 2024, when he disclosed an initial 9% stake. Brussels has long argued that Europe’s fragmented banking market — dozens of national champions, none at the scale of US rivals — is a structural weakness, and that political blockades of deals like this one entrench it.</w:t>
      </w:r>
    </w:p>
    <w:p>
      <w:pPr>
        <w:pStyle w:val="BodyText"/>
      </w:pPr>
      <w:r>
        <w:rPr>
          <w:b/>
          <w:bCs/>
        </w:rPr>
        <w:t xml:space="preserve">References</w:t>
      </w:r>
    </w:p>
    <w:p>
      <w:pPr>
        <w:pStyle w:val="BodyText"/>
      </w:pPr>
      <w:r>
        <w:t xml:space="preserve">[5] Bloomberg News. (2026, June 24). EU competition chief warns governments not to stymie bank deals. Bloomberg. https://www.bloomberg.com/news/articles/2026-06-24/eu-competition-chief-warns-governments-not-to-stymie-bank-deals</w:t>
      </w:r>
      <w:r>
        <w:t xml:space="preserve"> </w:t>
      </w:r>
      <w:r>
        <w:t xml:space="preserve">[6] Retail Banker International. (2026, June 24). EU competition chief backs cross-border bank mergers. Retail Banker International. https://www.retailbankerinternational.com/news/eu-cross-border-bank-mergers/</w:t>
      </w:r>
      <w:r>
        <w:t xml:space="preserve"> </w:t>
      </w:r>
      <w:r>
        <w:t xml:space="preserve">[7] Investment Monitor. (2026, June 24). Competition chief backs cross-border bank mergers. Investment Monitor. https://www.investmentmonitor.ai/news/competition-chief-backs-cross-border-bank-mergers/</w:t>
      </w:r>
    </w:p>
    <w:p>
      <w:r>
        <w:pict>
          <v:rect style="width:0;height:1.5pt" o:hralign="center" o:hrstd="t" o:hr="t"/>
        </w:pict>
      </w:r>
    </w:p>
    <w:bookmarkEnd w:id="12"/>
    <w:bookmarkEnd w:id="13"/>
    <w:bookmarkStart w:id="17" w:name="politics-diplomacy"/>
    <w:p>
      <w:pPr>
        <w:pStyle w:val="Heading2"/>
      </w:pPr>
      <w:r>
        <w:t xml:space="preserve">2. Politics &amp; Diplomacy</w:t>
      </w:r>
    </w:p>
    <w:bookmarkStart w:id="14" w:name="Xaab8ebbc554c192e58f36007b2fae1e561adaa6"/>
    <w:p>
      <w:pPr>
        <w:pStyle w:val="Heading3"/>
      </w:pPr>
      <w:r>
        <w:t xml:space="preserve">Commission proposes overhaul of Europol and Eurojust to fight cross-border crime</w:t>
      </w:r>
    </w:p>
    <w:p>
      <w:pPr>
        <w:pStyle w:val="FirstParagraph"/>
      </w:pPr>
      <w:r>
        <w:t xml:space="preserve">The European Commission adopted a four-part legislative package on 24 June 2026 to expand the EU’s capacity against cross-border crime and terrorism, centred on strengthened mandates for the policing agency Europol and the judicial-cooperation body Eurojust. The package also revises the European Investigation Order — the instrument that lets one member state ask another to gather evidence — and amends data-protection rules for EU institutions.</w:t>
      </w:r>
    </w:p>
    <w:p>
      <w:pPr>
        <w:pStyle w:val="BodyText"/>
      </w:pPr>
      <w:r>
        <w:t xml:space="preserve">For Europol, the most concrete changes are technical. The Commission wants secure cloud infrastructure and a Police Shared Data Space that would let investigators in different countries work the same case remotely, plus Europol Support Offices staffed by the agency’s own officers inside member states. A new Technology and Innovation Hub would map law-enforcement capability gaps across the EU and back joint research into critical technologies, and Europol’s links to Eurojust and the European Public Prosecutor’s Office would be tightened.</w:t>
      </w:r>
    </w:p>
    <w:p>
      <w:pPr>
        <w:pStyle w:val="BodyText"/>
      </w:pPr>
      <w:r>
        <w:t xml:space="preserve">The Commission justified the overhaul bluntly, saying</w:t>
      </w:r>
      <w:r>
        <w:t xml:space="preserve"> </w:t>
      </w:r>
      <w:r>
        <w:t xml:space="preserve">“crime is becoming more sophisticated, international and digital”</w:t>
      </w:r>
      <w:r>
        <w:t xml:space="preserve"> </w:t>
      </w:r>
      <w:r>
        <w:t xml:space="preserve">and demands cooperation across the whole chain from prevention to final court judgment. The proposals now go to the Council, where governments will negotiate before co-deciding with the European Parliament — a process that, on dossiers touching national policing sovereignty, typically runs for more than a year.</w:t>
      </w:r>
    </w:p>
    <w:p>
      <w:pPr>
        <w:pStyle w:val="BodyText"/>
      </w:pPr>
      <w:r>
        <w:rPr>
          <w:b/>
          <w:bCs/>
        </w:rPr>
        <w:t xml:space="preserve">References</w:t>
      </w:r>
    </w:p>
    <w:p>
      <w:pPr>
        <w:pStyle w:val="BodyText"/>
      </w:pPr>
      <w:r>
        <w:t xml:space="preserve">[8] European Commission. (2026, June 24). Commission strengthens Europol in step against cross-border crime and terrorism. European Commission. https://home-affairs.ec.europa.eu/news/commission-strengthens-europol-step-fight-against-cross-border-crime-and-terrorism-2026-06-24_en</w:t>
      </w:r>
    </w:p>
    <w:p>
      <w:r>
        <w:pict>
          <v:rect style="width:0;height:1.5pt" o:hralign="center" o:hrstd="t" o:hr="t"/>
        </w:pict>
      </w:r>
    </w:p>
    <w:bookmarkEnd w:id="14"/>
    <w:bookmarkStart w:id="15" w:name="Xb30e6011eff8d481689b7490d7ab924303cf6ce"/>
    <w:p>
      <w:pPr>
        <w:pStyle w:val="Heading3"/>
      </w:pPr>
      <w:r>
        <w:t xml:space="preserve">NATO’s Rutte meets Trump at the White House to defuse tensions before Ankara summit</w:t>
      </w:r>
    </w:p>
    <w:p>
      <w:pPr>
        <w:pStyle w:val="FirstParagraph"/>
      </w:pPr>
      <w:r>
        <w:t xml:space="preserve">NATO Secretary General Mark Rutte met US President Donald Trump in the Oval Office at 3:30 PM EST on 24 June 2026, the centrepiece of a two-day Washington visit aimed at cooling transatlantic friction ahead of the alliance summit in Ankara on 7–8 July. The session was an exercise in damage control over a stack of grievances Trump has aired about Europe.</w:t>
      </w:r>
    </w:p>
    <w:p>
      <w:pPr>
        <w:pStyle w:val="BodyText"/>
      </w:pPr>
      <w:r>
        <w:t xml:space="preserve">The flashpoints are concrete. Trump wants allies to commit to spending 5% of GDP on defence by 2035, a near-doubling of the old 2% target; he was furious that European allies refused to let US forces use their bases to launch strikes on Iran, calling the refusal</w:t>
      </w:r>
      <w:r>
        <w:t xml:space="preserve"> </w:t>
      </w:r>
      <w:r>
        <w:t xml:space="preserve">“shameful”</w:t>
      </w:r>
      <w:r>
        <w:t xml:space="preserve">; and Defense Secretary Pete Hegseth has ordered a six-month Pentagon review of American forces in Europe, with troop levels tied to how fast Europeans take over their own security.</w:t>
      </w:r>
      <w:r>
        <w:t xml:space="preserve"> </w:t>
      </w:r>
      <w:r>
        <w:t xml:space="preserve">“We spent all of this money,”</w:t>
      </w:r>
      <w:r>
        <w:t xml:space="preserve"> </w:t>
      </w:r>
      <w:r>
        <w:t xml:space="preserve">Trump complained of the alliance.</w:t>
      </w:r>
      <w:r>
        <w:t xml:space="preserve"> </w:t>
      </w:r>
      <w:r>
        <w:t xml:space="preserve">“And then when we want to maybe have help on small stuff… They say no.”</w:t>
      </w:r>
    </w:p>
    <w:p>
      <w:pPr>
        <w:pStyle w:val="BodyText"/>
      </w:pPr>
      <w:r>
        <w:t xml:space="preserve">Rutte’s job is to keep the figures moving in Trump’s direction without a public rupture. He told reporters that</w:t>
      </w:r>
      <w:r>
        <w:t xml:space="preserve"> </w:t>
      </w:r>
      <w:r>
        <w:t xml:space="preserve">“European allies and Canada are really stepping up with record increases last year, over $90 billion extra in real terms.”</w:t>
      </w:r>
      <w:r>
        <w:t xml:space="preserve"> </w:t>
      </w:r>
      <w:r>
        <w:t xml:space="preserve">Germany is the headline contributor, with military spending up 24% to €114 billion between 2024 and 2025 under Chancellor Friedrich Merz. The Ankara agenda will turn on the new spending pledge and Arctic security; US Secretary of State Marco Rubio also took part in the Washington talks.</w:t>
      </w:r>
    </w:p>
    <w:p>
      <w:pPr>
        <w:pStyle w:val="BodyText"/>
      </w:pPr>
      <w:r>
        <w:rPr>
          <w:b/>
          <w:bCs/>
        </w:rPr>
        <w:t xml:space="preserve">References</w:t>
      </w:r>
    </w:p>
    <w:p>
      <w:pPr>
        <w:pStyle w:val="BodyText"/>
      </w:pPr>
      <w:r>
        <w:t xml:space="preserve">[9] Euronews. (2026, June 24). Rutte meets Trump to defuse tensions ahead of major NATO summit. Euronews. https://www.euronews.com/my-europe/2026/06/24/rutte-meets-trump-to-defuse-tensions-ahead-of-major-nato-summit</w:t>
      </w:r>
      <w:r>
        <w:t xml:space="preserve"> </w:t>
      </w:r>
      <w:r>
        <w:t xml:space="preserve">[10] Associated Press. (2026, June 24). NATO’s Rutte to meet Trump, aiming to ease tensions ahead of July summit. U.S. News &amp; World Report. https://www.usnews.com/news/world/articles/2026-06-24/natos-rutte-to-meet-trump-aiming-to-ease-tensions-ahead-of-july-summit</w:t>
      </w:r>
      <w:r>
        <w:t xml:space="preserve"> </w:t>
      </w:r>
      <w:r>
        <w:t xml:space="preserve">[11] Associated Press. (2026, June 24). NATO’s</w:t>
      </w:r>
      <w:r>
        <w:t xml:space="preserve"> </w:t>
      </w:r>
      <w:r>
        <w:t xml:space="preserve">“Trump whisperer”</w:t>
      </w:r>
      <w:r>
        <w:t xml:space="preserve"> </w:t>
      </w:r>
      <w:r>
        <w:t xml:space="preserve">heads to White House to soothe president. ABC News. https://abcnews.com/US/wireStory/natos-trump-whisperer-heads-white-house-soothe-president-134156414</w:t>
      </w:r>
    </w:p>
    <w:p>
      <w:r>
        <w:pict>
          <v:rect style="width:0;height:1.5pt" o:hralign="center" o:hrstd="t" o:hr="t"/>
        </w:pict>
      </w:r>
    </w:p>
    <w:bookmarkEnd w:id="15"/>
    <w:bookmarkStart w:id="16" w:name="X285267b603b9ce4bca1b5fedb5e1f62ed434ea1"/>
    <w:p>
      <w:pPr>
        <w:pStyle w:val="Heading3"/>
      </w:pPr>
      <w:r>
        <w:t xml:space="preserve">EU joins global coalition to launch</w:t>
      </w:r>
      <w:r>
        <w:t xml:space="preserve"> </w:t>
      </w:r>
      <w:r>
        <w:t xml:space="preserve">“Electrify Now”</w:t>
      </w:r>
      <w:r>
        <w:t xml:space="preserve"> </w:t>
      </w:r>
      <w:r>
        <w:t xml:space="preserve">platform at London Climate Action Week</w:t>
      </w:r>
    </w:p>
    <w:p>
      <w:pPr>
        <w:pStyle w:val="FirstParagraph"/>
      </w:pPr>
      <w:r>
        <w:t xml:space="preserve">The EU joined a coalition spanning Brazil, Australia, Türkiye, Ethiopia, Canada, South Korea, the UK, the Philippines, the IEA and IRENA to launch</w:t>
      </w:r>
      <w:r>
        <w:t xml:space="preserve"> </w:t>
      </w:r>
      <w:r>
        <w:t xml:space="preserve">“Electrify Now”</w:t>
      </w:r>
      <w:r>
        <w:t xml:space="preserve"> </w:t>
      </w:r>
      <w:r>
        <w:t xml:space="preserve">at the 8th London Climate Action Week on 24 June 2026, a global platform targeting 35% electrification of final energy demand by 2035. The push aims squarely at transport, industry and buildings — the sectors still leaning hardest on fossil fuels — and stays open for more governments to sign on.</w:t>
      </w:r>
    </w:p>
    <w:p>
      <w:pPr>
        <w:pStyle w:val="BodyText"/>
      </w:pPr>
      <w:r>
        <w:t xml:space="preserve">The same event renewed a methane push that has lost momentum. The EU and Canada, co-convenors of the Global Methane Pledge and its 159 signatory countries, welcomed a fresh Call to Action from UN Secretary-General António Guterres, reaffirming the pledge’s goal of cutting global methane emissions 30% from 2020 levels by 2030. The Commission noted that more than 350 billion cubic metres of gas were lost worldwide in 2024 through flaring, venting and leaks — wasted fuel that is also a potent short-lived greenhouse gas.</w:t>
      </w:r>
    </w:p>
    <w:p>
      <w:pPr>
        <w:pStyle w:val="BodyText"/>
      </w:pPr>
      <w:r>
        <w:t xml:space="preserve">EU Energy and Housing Commissioner Dan Jørgensen framed electrification as the cheaper, faster lever, saying</w:t>
      </w:r>
      <w:r>
        <w:t xml:space="preserve"> </w:t>
      </w:r>
      <w:r>
        <w:t xml:space="preserve">“clean electrification is one of the most powerful tools we have to build a sustainable future.”</w:t>
      </w:r>
      <w:r>
        <w:t xml:space="preserve"> </w:t>
      </w:r>
      <w:r>
        <w:t xml:space="preserve">The launch followed the 18–19 June European Council, where EU leaders reaffirmed their climate-transition commitments alongside conclusions on competitiveness — a balance Brussels is under pressure to strike as it weighs green targets against industrial costs.</w:t>
      </w:r>
    </w:p>
    <w:p>
      <w:pPr>
        <w:pStyle w:val="BodyText"/>
      </w:pPr>
      <w:r>
        <w:rPr>
          <w:b/>
          <w:bCs/>
        </w:rPr>
        <w:t xml:space="preserve">References</w:t>
      </w:r>
    </w:p>
    <w:p>
      <w:pPr>
        <w:pStyle w:val="BodyText"/>
      </w:pPr>
      <w:r>
        <w:t xml:space="preserve">[12] European Commission. (2026, June 24). EU at London Climate Action Week: Joining forces to expand electrification and reduce methane emissions. European Commission. https://energy.ec.europa.eu/news/eu-london-climate-action-week-joining-forces-expand-electrification-and-reduce-methane-emissions-2026-06-24_en</w:t>
      </w:r>
    </w:p>
    <w:p>
      <w:r>
        <w:pict>
          <v:rect style="width:0;height:1.5pt" o:hralign="center" o:hrstd="t" o:hr="t"/>
        </w:pict>
      </w:r>
    </w:p>
    <w:bookmarkEnd w:id="16"/>
    <w:bookmarkEnd w:id="17"/>
    <w:bookmarkStart w:id="21" w:name="technology-industry"/>
    <w:p>
      <w:pPr>
        <w:pStyle w:val="Heading2"/>
      </w:pPr>
      <w:r>
        <w:t xml:space="preserve">3. Technology &amp; Industry</w:t>
      </w:r>
    </w:p>
    <w:bookmarkStart w:id="18" w:name="X7c898105236ed737aba68041cdd7e22d7660819"/>
    <w:p>
      <w:pPr>
        <w:pStyle w:val="Heading3"/>
      </w:pPr>
      <w:r>
        <w:t xml:space="preserve">China’s LineShine tops the TOP500 at 2.198 exaflops, ending US supercomputing dominance</w:t>
      </w:r>
    </w:p>
    <w:p>
      <w:pPr>
        <w:pStyle w:val="FirstParagraph"/>
      </w:pPr>
      <w:r>
        <w:t xml:space="preserve">China’s LineShine system at the National Supercomputing Centre in Shenzhen debuted at No. 1 on the 67th TOP500 list with 2.198 exaflops — more than two quintillion calculations per second — a lead of over 20% on the US machine El Capitan at Lawrence Livermore. The ranking, published 22 June and unveiled at the ISC High Performance conference in Hamburg on 24 June, marks the first time a Chinese system has held the crown since Sunway TaihuLight in 2017.</w:t>
      </w:r>
    </w:p>
    <w:p>
      <w:pPr>
        <w:pStyle w:val="BodyText"/>
      </w:pPr>
      <w:r>
        <w:t xml:space="preserve">The machine is notable for what is not inside it. LineShine is the first CPU-only system to break 2 exaflops, built on China’s own LX2 Armv9-based processors across 20,480 nodes, each carrying 304 cores, stitched together by a domestically designed LingQi interconnect running at 1.6 Tb/s per node, atop KylinOS. The Register noted it</w:t>
      </w:r>
      <w:r>
        <w:t xml:space="preserve"> </w:t>
      </w:r>
      <w:r>
        <w:t xml:space="preserve">“took the top spot without using any kit from Nvidia, Intel, or AMD”</w:t>
      </w:r>
      <w:r>
        <w:t xml:space="preserve"> </w:t>
      </w:r>
      <w:r>
        <w:t xml:space="preserve">— a pointed result given US export controls that have cut China off from Western AI chips since 2022. NVIDIA technology still powers 400 of the 500 ranked systems.</w:t>
      </w:r>
    </w:p>
    <w:p>
      <w:pPr>
        <w:pStyle w:val="BodyText"/>
      </w:pPr>
      <w:r>
        <w:t xml:space="preserve">Europe is not absent from the upper tier: four European machines remain in the global top 10, led by Germany’s JUPITER Booster at the EuroHPC Jülich centre, fifth at exactly 1.000 exaflop/s and the continent’s first exascale system. China’s return to the top fits a longer arc — it was once a dominant presence on the TOP500 before reducing its public entries amid the chip war. Premier Li Qiang, speaking at the World Economic Forum’s Summer Davos, framed the advance as</w:t>
      </w:r>
      <w:r>
        <w:t xml:space="preserve"> </w:t>
      </w:r>
      <w:r>
        <w:t xml:space="preserve">“China Opportunity 2.0,”</w:t>
      </w:r>
      <w:r>
        <w:t xml:space="preserve"> </w:t>
      </w:r>
      <w:r>
        <w:t xml:space="preserve">promising</w:t>
      </w:r>
      <w:r>
        <w:t xml:space="preserve"> </w:t>
      </w:r>
      <w:r>
        <w:t xml:space="preserve">“broader access to advanced technologies.”</w:t>
      </w:r>
    </w:p>
    <w:p>
      <w:pPr>
        <w:pStyle w:val="BodyText"/>
      </w:pPr>
      <w:r>
        <w:rPr>
          <w:b/>
          <w:bCs/>
        </w:rPr>
        <w:t xml:space="preserve">References</w:t>
      </w:r>
    </w:p>
    <w:p>
      <w:pPr>
        <w:pStyle w:val="BodyText"/>
      </w:pPr>
      <w:r>
        <w:t xml:space="preserve">[13] Euronews. (2026, June 24). World’s fastest supercomputer is now from China, surpassing US and Germany. Euronews. https://www.euronews.com/next/2026/06/24/worlds-fastest-supercomputer-is-now-from-china-surpassing-us-and-germany</w:t>
      </w:r>
      <w:r>
        <w:t xml:space="preserve"> </w:t>
      </w:r>
      <w:r>
        <w:t xml:space="preserve">[14] The Register. (2026, June 24). Chinese supercomputer using local processors heads TOP500 list. The Register. https://www.theregister.com/hpc/2026/06/24/chinese-supercomputer-using-local-processors-heads-top500-list/5260532</w:t>
      </w:r>
      <w:r>
        <w:t xml:space="preserve"> </w:t>
      </w:r>
      <w:r>
        <w:t xml:space="preserve">[15] Al Jazeera. (2026, June 24). China takes US crown for world’s fastest supercomputer. Al Jazeera. https://www.aljazeera.com/economy/2026/6/24/china-takes-us-crown-for-worlds-fastest-supercomputer</w:t>
      </w:r>
      <w:r>
        <w:t xml:space="preserve"> </w:t>
      </w:r>
      <w:r>
        <w:t xml:space="preserve">[16] TOP500. (2026, June 22). TOP500 list, June 2026. TOP500. https://top500.org/lists/top500/2026/06/</w:t>
      </w:r>
    </w:p>
    <w:p>
      <w:r>
        <w:pict>
          <v:rect style="width:0;height:1.5pt" o:hralign="center" o:hrstd="t" o:hr="t"/>
        </w:pict>
      </w:r>
    </w:p>
    <w:bookmarkEnd w:id="18"/>
    <w:bookmarkStart w:id="19" w:name="Xfdd337057e194282d64f3ed3f23eb61d157f284"/>
    <w:p>
      <w:pPr>
        <w:pStyle w:val="Heading3"/>
      </w:pPr>
      <w:r>
        <w:t xml:space="preserve">Hollywood stars launch AI consent register at the European Parliament</w:t>
      </w:r>
    </w:p>
    <w:p>
      <w:pPr>
        <w:pStyle w:val="FirstParagraph"/>
      </w:pPr>
      <w:r>
        <w:t xml:space="preserve">Cate Blanchett and Steven Soderbergh presented a new AI consent platform, rslmedia.org, to MEPs at the European Parliament in Brussels on 24 June 2026, backed by a roster of stars including Meryl Streep, George Clooney, Tom Hanks, Helen Mirren and Javier Bardem. The non-profit lets any artist register how — or whether — AI may use their face, voice, movements or ideas, using a three-tier colour code: green for permitted, yellow for conditional use such as requiring payment, and red for prohibited.</w:t>
      </w:r>
    </w:p>
    <w:p>
      <w:pPr>
        <w:pStyle w:val="BodyText"/>
      </w:pPr>
      <w:r>
        <w:t xml:space="preserve">The idea is a machine-readable consent layer that AI companies can check before generating someone’s likeness. Co-founded by Blanchett, Nikki Hexum, Doug Leeds and Eckart Walther, the platform rests on the premise that a person’s identity is a form of intellectual property that needs infrastructure where consent can be recorded and looked up.</w:t>
      </w:r>
      <w:r>
        <w:t xml:space="preserve"> </w:t>
      </w:r>
      <w:r>
        <w:t xml:space="preserve">“To find a path between unbridled enthusiasm and the dangers of AI, we need safeguards based on consent,”</w:t>
      </w:r>
      <w:r>
        <w:t xml:space="preserve"> </w:t>
      </w:r>
      <w:r>
        <w:t xml:space="preserve">Blanchett told the gathering.</w:t>
      </w:r>
    </w:p>
    <w:p>
      <w:pPr>
        <w:pStyle w:val="BodyText"/>
      </w:pPr>
      <w:r>
        <w:t xml:space="preserve">The timing is deliberate. The launch was pegged to the EU AI Act reaching full applicability on 2 August 2026, whose later prohibitions — effective 2 December 2026 — include banning AI-generated non-consensual intimate imagery. The organisers are clear the register is not a law but a complement to one.</w:t>
      </w:r>
      <w:r>
        <w:t xml:space="preserve"> </w:t>
      </w:r>
      <w:r>
        <w:t xml:space="preserve">“This is not a law, it’s not a restriction; it’s a persuasive mechanism to do the right thing,”</w:t>
      </w:r>
      <w:r>
        <w:t xml:space="preserve"> </w:t>
      </w:r>
      <w:r>
        <w:t xml:space="preserve">Soderbergh said.</w:t>
      </w:r>
    </w:p>
    <w:p>
      <w:pPr>
        <w:pStyle w:val="BodyText"/>
      </w:pPr>
      <w:r>
        <w:rPr>
          <w:b/>
          <w:bCs/>
        </w:rPr>
        <w:t xml:space="preserve">References</w:t>
      </w:r>
    </w:p>
    <w:p>
      <w:pPr>
        <w:pStyle w:val="BodyText"/>
      </w:pPr>
      <w:r>
        <w:t xml:space="preserve">[17] Euronews. (2026, June 24). Hollywood stars oppose AI: How a new register protects artists’ identities. Euronews. https://www.euronews.com/culture/2026/06/24/hollywood-stars-oppose-ai-how-a-new-register-protects-artists-identities</w:t>
      </w:r>
      <w:r>
        <w:t xml:space="preserve"> </w:t>
      </w:r>
      <w:r>
        <w:t xml:space="preserve">[18] Variety. (2026, June 24). Cate Blanchett, RSL Media launch AI usage consent platform. Variety. https://variety.com/2026/film/news/cate-blanchett-rsl-media-ai-usage-1236746845/</w:t>
      </w:r>
    </w:p>
    <w:p>
      <w:r>
        <w:pict>
          <v:rect style="width:0;height:1.5pt" o:hralign="center" o:hrstd="t" o:hr="t"/>
        </w:pict>
      </w:r>
    </w:p>
    <w:bookmarkEnd w:id="19"/>
    <w:bookmarkStart w:id="20" w:name="X90e4d02f5ac1d734008591ae477e21e3786c12c"/>
    <w:p>
      <w:pPr>
        <w:pStyle w:val="Heading3"/>
      </w:pPr>
      <w:r>
        <w:t xml:space="preserve">Eurobarometer survey finds Europeans overwhelmingly want less dependence on foreign tech</w:t>
      </w:r>
    </w:p>
    <w:p>
      <w:pPr>
        <w:pStyle w:val="FirstParagraph"/>
      </w:pPr>
      <w:r>
        <w:t xml:space="preserve">About 80% of Europe’s digital infrastructure originates outside the EU — dominated by US firms such as Google, Microsoft and Apple and Chinese companies including Alibaba and ByteDance — and a Eurobarometer survey published 24 June 2026 found broad public appetite to change that. Support for EU-controlled digital infrastructure runs highest in Sweden (94%), Finland (93%) and Denmark (92%).</w:t>
      </w:r>
    </w:p>
    <w:p>
      <w:pPr>
        <w:pStyle w:val="BodyText"/>
      </w:pPr>
      <w:r>
        <w:t xml:space="preserve">The appetite has limits that vary sharply by country. Asked whether they would switch to EU providers even at higher cost, Danes led at 76%, with Sweden and Croatia at 73% — but Estonians came in lowest at 35%, followed by Bulgaria and the Czech Republic at 45%. Motivations split too: security and reliability drove the willingness to switch in Greece (68%), Finland (67%) and Sweden (64%), while data protection topped the list in Austria (57%) and the Netherlands, Ireland and Portugal (54% each).</w:t>
      </w:r>
    </w:p>
    <w:p>
      <w:pPr>
        <w:pStyle w:val="BodyText"/>
      </w:pPr>
      <w:r>
        <w:t xml:space="preserve">Johan Linåker, a senior researcher at Sweden’s RISE institute, tied the national gaps to how each society talks about the issue, noting that</w:t>
      </w:r>
      <w:r>
        <w:t xml:space="preserve"> </w:t>
      </w:r>
      <w:r>
        <w:t xml:space="preserve">“digital tools in some countries are viewed as a commodity rather than critical infrastructure.”</w:t>
      </w:r>
      <w:r>
        <w:t xml:space="preserve"> </w:t>
      </w:r>
      <w:r>
        <w:t xml:space="preserve">The findings land as the EU rolls out its Tech Sovereignty Package — including a Chips Act 2.0 and a Cloud and AI Development Act proposed in June 2026 — targeting €120 billion in semiconductor investment and €200 billion in data-centre capacity by 2036.</w:t>
      </w:r>
    </w:p>
    <w:p>
      <w:pPr>
        <w:pStyle w:val="BodyText"/>
      </w:pPr>
      <w:r>
        <w:rPr>
          <w:b/>
          <w:bCs/>
        </w:rPr>
        <w:t xml:space="preserve">References</w:t>
      </w:r>
    </w:p>
    <w:p>
      <w:pPr>
        <w:pStyle w:val="BodyText"/>
      </w:pPr>
      <w:r>
        <w:t xml:space="preserve">[19] Euronews. (2026, June 24). Europeans want less dependence on foreign technologies, study finds. Euronews. https://www.euronews.com/my-europe/2026/06/24/europeans-want-less-dependence-on-foreign-technologies-study-finds</w:t>
      </w:r>
    </w:p>
    <w:p>
      <w:r>
        <w:pict>
          <v:rect style="width:0;height:1.5pt" o:hralign="center" o:hrstd="t" o:hr="t"/>
        </w:pict>
      </w:r>
    </w:p>
    <w:bookmarkEnd w:id="20"/>
    <w:bookmarkEnd w:id="21"/>
    <w:bookmarkStart w:id="25" w:name="society-livelihood"/>
    <w:p>
      <w:pPr>
        <w:pStyle w:val="Heading2"/>
      </w:pPr>
      <w:r>
        <w:t xml:space="preserve">4. Society &amp; Livelihood</w:t>
      </w:r>
    </w:p>
    <w:bookmarkStart w:id="22" w:name="X016b33cbb2a32979a38287763f3c9c2c617f3cc"/>
    <w:p>
      <w:pPr>
        <w:pStyle w:val="Heading3"/>
      </w:pPr>
      <w:r>
        <w:t xml:space="preserve">France confirms Europe’s first imported Ebola case in a doctor returning from Congo</w:t>
      </w:r>
    </w:p>
    <w:p>
      <w:pPr>
        <w:pStyle w:val="FirstParagraph"/>
      </w:pPr>
      <w:r>
        <w:t xml:space="preserve">France confirmed its first-ever case of Ebola on 24 June 2026 — a humanitarian doctor who had recently returned from a mission in the Democratic Republic of Congo. The patient was detected quickly and moved to a specialist hospital under strict biosafety protocols, and French authorities opened an epidemiological investigation to trace every contact, each of whom faces 21 days of monitored home isolation. There was</w:t>
      </w:r>
      <w:r>
        <w:t xml:space="preserve"> </w:t>
      </w:r>
      <w:r>
        <w:t xml:space="preserve">“no indication of local spread”</w:t>
      </w:r>
      <w:r>
        <w:t xml:space="preserve"> </w:t>
      </w:r>
      <w:r>
        <w:t xml:space="preserve">at the time of the announcement.</w:t>
      </w:r>
    </w:p>
    <w:p>
      <w:pPr>
        <w:pStyle w:val="BodyText"/>
      </w:pPr>
      <w:r>
        <w:t xml:space="preserve">The case is the first importation into the EU/EEA from an outbreak that the WHO declared a Public Health Emergency of International Concern on 16 May 2026. It is driven by the Bundibugyo strain of the virus. As of 21 June, the DRC had reported 1,048 confirmed cases and 267 deaths, with 371 people hospitalised in isolation; neighbouring Uganda has also recorded cases.</w:t>
      </w:r>
    </w:p>
    <w:p>
      <w:pPr>
        <w:pStyle w:val="BodyText"/>
      </w:pPr>
      <w:r>
        <w:t xml:space="preserve">The strain is what makes this outbreak dangerous beyond its case count: there is no licensed vaccine or treatment for Bundibugyo, because existing Ebola vaccines are certified only for the Zaire strain. The ECDC assessed the infection risk for people in the EU/EEA as</w:t>
      </w:r>
      <w:r>
        <w:t xml:space="preserve"> </w:t>
      </w:r>
      <w:r>
        <w:t xml:space="preserve">“low”</w:t>
      </w:r>
      <w:r>
        <w:t xml:space="preserve"> </w:t>
      </w:r>
      <w:r>
        <w:t xml:space="preserve">and</w:t>
      </w:r>
      <w:r>
        <w:t xml:space="preserve"> </w:t>
      </w:r>
      <w:r>
        <w:t xml:space="preserve">“very low”</w:t>
      </w:r>
      <w:r>
        <w:t xml:space="preserve"> </w:t>
      </w:r>
      <w:r>
        <w:t xml:space="preserve">for the general European population, since transmission requires direct contact with a symptomatic patient’s body fluids. The EU has committed €81.2 million in humanitarian response funding for the Great Lakes region in 2026.</w:t>
      </w:r>
    </w:p>
    <w:p>
      <w:pPr>
        <w:pStyle w:val="BodyText"/>
      </w:pPr>
      <w:r>
        <w:rPr>
          <w:b/>
          <w:bCs/>
        </w:rPr>
        <w:t xml:space="preserve">References</w:t>
      </w:r>
    </w:p>
    <w:p>
      <w:pPr>
        <w:pStyle w:val="BodyText"/>
      </w:pPr>
      <w:r>
        <w:t xml:space="preserve">[20] ABC News. (2026, June 24). France confirms first Ebola case linked to outbreak in DRC. ABC News. https://abcnews.com/International/france-confirms-1st-ebola-case-linked-outbreak-drc/story?id=134160026</w:t>
      </w:r>
      <w:r>
        <w:t xml:space="preserve"> </w:t>
      </w:r>
      <w:r>
        <w:t xml:space="preserve">[21] France 24. (2026, June 24). France confirms first Ebola case in doctor returning from DR Congo mission. France 24. https://www.france24.com/en/france/20260624-france-confirms-first-ebola-case-in-doctor-returning-from-dr-congo-mission</w:t>
      </w:r>
      <w:r>
        <w:t xml:space="preserve"> </w:t>
      </w:r>
      <w:r>
        <w:t xml:space="preserve">[22] Euronews. (2026, June 24). First Ebola case confirmed in France, health ministry says. Euronews. https://www.euronews.com/health/2026/06/24/first-ebola-case-confirmed-in-france-health-ministry-says</w:t>
      </w:r>
      <w:r>
        <w:t xml:space="preserve"> </w:t>
      </w:r>
      <w:r>
        <w:t xml:space="preserve">[23] European Commission. (2026, June 24). Ebola virus outbreak 2026. European Commission. https://health.ec.europa.eu/health-security-and-infectious-diseases/crisis-management/ebola-virus-outbreak-2026_en</w:t>
      </w:r>
    </w:p>
    <w:p>
      <w:r>
        <w:pict>
          <v:rect style="width:0;height:1.5pt" o:hralign="center" o:hrstd="t" o:hr="t"/>
        </w:pict>
      </w:r>
    </w:p>
    <w:bookmarkEnd w:id="22"/>
    <w:bookmarkStart w:id="23" w:name="X5f4578471cc25b548f3ca2f39aa84d1a5a64957"/>
    <w:p>
      <w:pPr>
        <w:pStyle w:val="Heading3"/>
      </w:pPr>
      <w:r>
        <w:t xml:space="preserve">France records its hottest day ever as red heat alerts spread across Europe and 40 drown</w:t>
      </w:r>
    </w:p>
    <w:p>
      <w:pPr>
        <w:pStyle w:val="FirstParagraph"/>
      </w:pPr>
      <w:r>
        <w:t xml:space="preserve">France logged the hottest day in its history on 24 June 2026, with forecast peaks of 40–45°C across the west and a national average of 29.8°C the day before, as Météo-France warned that</w:t>
      </w:r>
      <w:r>
        <w:t xml:space="preserve"> </w:t>
      </w:r>
      <w:r>
        <w:t xml:space="preserve">“all-time records for any month are likely to fall.”</w:t>
      </w:r>
      <w:r>
        <w:t xml:space="preserve"> </w:t>
      </w:r>
      <w:r>
        <w:t xml:space="preserve">Fifty-eight départements were placed on red alert, 31 on orange, and 35 on heightened wildfire alert; by 5 a.m. La Rochelle had already hit 29°C.</w:t>
      </w:r>
    </w:p>
    <w:p>
      <w:pPr>
        <w:pStyle w:val="BodyText"/>
      </w:pPr>
      <w:r>
        <w:t xml:space="preserve">The human toll is mounting. Forty people have drowned in France since 18 June, most of them young swimmers in unsupervised areas, including two children aged two and four. In Finistère, 68,000 households lost power to heat-linked failures, with reconnections prioritised for healthcare sites; in Lot-et-Garonne, wildfires drew 180 firefighters, 80 vehicles and five water-bombing aircraft. The crisis is continent-wide: hundreds of UK schools closed as the Met Office issued red extreme-heat warnings with London forecast to reach 39°C, while Italy put 16 cities including Milan, Rome and Venice on red alert, with air-conditioning demand triggering blackouts in Milan and Turin and a spike in emergency hospital visits in Parma. Spain’s Andalusia had touched 44°C earlier in the week.</w:t>
      </w:r>
    </w:p>
    <w:p>
      <w:pPr>
        <w:pStyle w:val="BodyText"/>
      </w:pPr>
      <w:r>
        <w:t xml:space="preserve">Scientists are explicit about the cause: rapid-attribution analysis found human-caused climate change made the heatwave 2.4–4°C hotter than it would otherwise have been. Europe is warming at twice the global average since the 1980s, the fastest-warming continent, according to the EU’s Copernicus service — which is why a pattern that once delivered ordinary summer heat now produces record-shattering spikes that arrive earlier each year. The heat is forecast to persist into early July.</w:t>
      </w:r>
    </w:p>
    <w:p>
      <w:pPr>
        <w:pStyle w:val="BodyText"/>
      </w:pPr>
      <w:r>
        <w:rPr>
          <w:b/>
          <w:bCs/>
        </w:rPr>
        <w:t xml:space="preserve">References</w:t>
      </w:r>
    </w:p>
    <w:p>
      <w:pPr>
        <w:pStyle w:val="BodyText"/>
      </w:pPr>
      <w:r>
        <w:t xml:space="preserve">[24] Euronews. (2026, June 24). Red heatwave alerts spread across Europe with hottest day ever in France and 40 deaths from drowning. Euronews. https://www.euronews.com/2026/06/24/red-heatwave-alerts-spread-across-europe-with-hottest-day-ever-in-france-and-40-deaths-fro</w:t>
      </w:r>
      <w:r>
        <w:t xml:space="preserve"> </w:t>
      </w:r>
      <w:r>
        <w:t xml:space="preserve">[25] Euronews. (2026, June 24). Heatwave and wildfire alerts, power cuts in Finistère as France swelters. Euronews. https://www.euronews.com/my-europe/2026/06/24/heatwave-and-wildfire-alerts-power-cuts-in-finistere-france-swelters</w:t>
      </w:r>
      <w:r>
        <w:t xml:space="preserve"> </w:t>
      </w:r>
      <w:r>
        <w:t xml:space="preserve">[26] CNN. (2026, June 24). Europe heatwave temperatures: Live updates. CNN. https://www.cnn.com/2026/06/24/weather/live-news/europe-heatwave-temperatures-news</w:t>
      </w:r>
    </w:p>
    <w:p>
      <w:r>
        <w:pict>
          <v:rect style="width:0;height:1.5pt" o:hralign="center" o:hrstd="t" o:hr="t"/>
        </w:pict>
      </w:r>
    </w:p>
    <w:bookmarkEnd w:id="23"/>
    <w:bookmarkStart w:id="24" w:name="X391cc6647d9c7969805d2267c2c2ecdcefe7ca5"/>
    <w:p>
      <w:pPr>
        <w:pStyle w:val="Heading3"/>
      </w:pPr>
      <w:r>
        <w:t xml:space="preserve">Ten years after Brexit, confusion over EU travel rules persists as ETIAS nears</w:t>
      </w:r>
    </w:p>
    <w:p>
      <w:pPr>
        <w:pStyle w:val="FirstParagraph"/>
      </w:pPr>
      <w:r>
        <w:t xml:space="preserve">Nearly three-quarters of UK travellers — 73% — do not understand how the European Travel Information and Authorisation System will work, a survey-based report found on 24 June 2026, the tenth anniversary of the Brexit referendum. ETIAS is expected to launch in the last quarter of 2026 and will require UK nationals to pay €20 per adult for travel authorisation before visiting the Schengen Area, valid for three years.</w:t>
      </w:r>
    </w:p>
    <w:p>
      <w:pPr>
        <w:pStyle w:val="BodyText"/>
      </w:pPr>
      <w:r>
        <w:t xml:space="preserve">The gaps go beyond the new system. Some 44% of UK travellers do not understand passport-validity rules — many EU states require at least six months of remaining validity — and one in four reported real disruption, from cancelled trips to being denied boarding. Almost a quarter (23%) said they are</w:t>
      </w:r>
      <w:r>
        <w:t xml:space="preserve"> </w:t>
      </w:r>
      <w:r>
        <w:t xml:space="preserve">“very concerned”</w:t>
      </w:r>
      <w:r>
        <w:t xml:space="preserve"> </w:t>
      </w:r>
      <w:r>
        <w:t xml:space="preserve">about delays from the Entry/Exit System, the biometric border check that replaces passport stamps with fingerprint and facial scans. More than two million Global Health Insurance Cards are due to expire in 2026, threatening British travellers’ access to EU state healthcare.</w:t>
      </w:r>
    </w:p>
    <w:p>
      <w:pPr>
        <w:pStyle w:val="BodyText"/>
      </w:pPr>
      <w:r>
        <w:t xml:space="preserve">The frictions arrive as British opinion on Brexit has curdled: a June 2026 YouGov poll found 57% of Britons now consider it a mistake against 30% who think it was right, and an Ipsos poll found 52% would support applying to rejoin the EU. There is one move in the other direction — Gibraltar’s border fence with Spain comes down on 15 July 2026 as the territory joins the Schengen Area under Spanish administration.</w:t>
      </w:r>
    </w:p>
    <w:p>
      <w:pPr>
        <w:pStyle w:val="BodyText"/>
      </w:pPr>
      <w:r>
        <w:rPr>
          <w:b/>
          <w:bCs/>
        </w:rPr>
        <w:t xml:space="preserve">References</w:t>
      </w:r>
    </w:p>
    <w:p>
      <w:pPr>
        <w:pStyle w:val="BodyText"/>
      </w:pPr>
      <w:r>
        <w:t xml:space="preserve">[27] Euronews. (2026, June 24). Ten years after Brexit, travel rules confusion remains widespread. Euronews. https://www.euronews.com/travel/2026/06/24/ten-years-after-brexit-travel-rules-confusion-remains-widespread</w:t>
      </w:r>
    </w:p>
    <w:p>
      <w:r>
        <w:pict>
          <v:rect style="width:0;height:1.5pt" o:hralign="center" o:hrstd="t" o:hr="t"/>
        </w:pict>
      </w:r>
    </w:p>
    <w:bookmarkEnd w:id="24"/>
    <w:bookmarkEnd w:id="25"/>
    <w:bookmarkStart w:id="28" w:name="corporate-ipo-ma"/>
    <w:p>
      <w:pPr>
        <w:pStyle w:val="Heading2"/>
      </w:pPr>
      <w:r>
        <w:t xml:space="preserve">5. Corporate IPO &amp; M&amp;A</w:t>
      </w:r>
    </w:p>
    <w:bookmarkStart w:id="26" w:name="X5b5d78d68bd45c818a5e983ca0acec199257aca"/>
    <w:p>
      <w:pPr>
        <w:pStyle w:val="Heading3"/>
      </w:pPr>
      <w:r>
        <w:t xml:space="preserve">Tank maker KNDS plans Paris and Frankfurt listing at up to €20bn, Germany to take 40%</w:t>
      </w:r>
    </w:p>
    <w:p>
      <w:pPr>
        <w:pStyle w:val="FirstParagraph"/>
      </w:pPr>
      <w:r>
        <w:t xml:space="preserve">KNDS, the Franco-German maker of the Leopard 2 and Leclerc battle tanks, announced plans on 24 June 2026 to list shares on the Paris and Frankfurt exchanges through an institutional private placement, with analysts pegging a valuation as high as €20 billion. Existing owners — France’s state-held Giat Industries and Germany’s Wegmann family — will together sell about 20% to institutional investors; there is no public offering for retail buyers.</w:t>
      </w:r>
    </w:p>
    <w:p>
      <w:pPr>
        <w:pStyle w:val="BodyText"/>
      </w:pPr>
      <w:r>
        <w:t xml:space="preserve">Alongside the listing, Berlin agreed to acquire a 40% stake through state lender KfW, buying in next to the French state, which keeps its share via Giat. Both anchor shareholders accept a 10-year lockup, with a loyalty plan granting double voting rights on shares held at least two years — a structure designed to keep two governments firmly in control of a strategic arms maker even as outside capital comes in. KNDS reported 2025 revenue of €4.4 billion and operating profit of €661 million, sitting on a record order backlog of €33.1 billion, and targets roughly 30% revenue growth in 2026.</w:t>
      </w:r>
    </w:p>
    <w:p>
      <w:pPr>
        <w:pStyle w:val="BodyText"/>
      </w:pPr>
      <w:r>
        <w:t xml:space="preserve">The deal rides a wave of defence-sector flotations born of Russia’s 2022 invasion of Ukraine, which has sharply lifted the value of Europe’s listed defence stocks, including KNDS rivals such as Rheinmetall. The listing follows Renk and Exosens (2024), TKMS (2025) and Czechoslovak Group (January 2026). CEO Jean-Paul Alary called the IPO</w:t>
      </w:r>
      <w:r>
        <w:t xml:space="preserve"> </w:t>
      </w:r>
      <w:r>
        <w:t xml:space="preserve">“a natural next step for KNDS,”</w:t>
      </w:r>
      <w:r>
        <w:t xml:space="preserve"> </w:t>
      </w:r>
      <w:r>
        <w:t xml:space="preserve">while chairman Tom Enders said Germany’s decision to invest beside France was</w:t>
      </w:r>
      <w:r>
        <w:t xml:space="preserve"> </w:t>
      </w:r>
      <w:r>
        <w:t xml:space="preserve">“a strong signal of confidence in KNDS.”</w:t>
      </w:r>
    </w:p>
    <w:p>
      <w:pPr>
        <w:pStyle w:val="BodyText"/>
      </w:pPr>
      <w:r>
        <w:rPr>
          <w:b/>
          <w:bCs/>
        </w:rPr>
        <w:t xml:space="preserve">References</w:t>
      </w:r>
    </w:p>
    <w:p>
      <w:pPr>
        <w:pStyle w:val="BodyText"/>
      </w:pPr>
      <w:r>
        <w:t xml:space="preserve">[28] Defense News. (2026, June 24). Tank maker KNDS plans stock market listing, Germany to buy 40% stake. Defense News. https://www.defensenews.com/global/europe/2026/06/24/tank-maker-knds-plans-stock-market-listing-germany-to-buy-40-stake/</w:t>
      </w:r>
      <w:r>
        <w:t xml:space="preserve"> </w:t>
      </w:r>
      <w:r>
        <w:t xml:space="preserve">[29] WION. (2026, June 24). Germany cancels six F126 frigates after delays, plans shift to smaller warships. WION. https://www.wionews.com/world/germany-cancels-six-f126-frigates-after-delays-plans-shift-to-smaller-warships-1782292012007</w:t>
      </w:r>
    </w:p>
    <w:p>
      <w:r>
        <w:pict>
          <v:rect style="width:0;height:1.5pt" o:hralign="center" o:hrstd="t" o:hr="t"/>
        </w:pict>
      </w:r>
    </w:p>
    <w:bookmarkEnd w:id="26"/>
    <w:bookmarkStart w:id="27" w:name="X176140edb6b8d305dbb101c477839083428dca7"/>
    <w:p>
      <w:pPr>
        <w:pStyle w:val="Heading3"/>
      </w:pPr>
      <w:r>
        <w:t xml:space="preserve">UniCredit CEO Orcel says ECB likely to declare control of Commerzbank after 42.5% stake</w:t>
      </w:r>
    </w:p>
    <w:p>
      <w:pPr>
        <w:pStyle w:val="FirstParagraph"/>
      </w:pPr>
      <w:r>
        <w:t xml:space="preserve">UniCredit CEO Andrea Orcel said on 24 June 2026 that it is</w:t>
      </w:r>
      <w:r>
        <w:t xml:space="preserve"> </w:t>
      </w:r>
      <w:r>
        <w:t xml:space="preserve">“a lot more probable that we end up with what the ECB would call control than not”</w:t>
      </w:r>
      <w:r>
        <w:t xml:space="preserve"> </w:t>
      </w:r>
      <w:r>
        <w:t xml:space="preserve">of Commerzbank, after a voluntary exchange offer that closed on 16 June with 12.5% take-up lifted UniCredit’s total holding to 42.5%.</w:t>
      </w:r>
      <w:r>
        <w:t xml:space="preserve"> </w:t>
      </w:r>
      <w:r>
        <w:t xml:space="preserve">“We never launched this offer to go to control,”</w:t>
      </w:r>
      <w:r>
        <w:t xml:space="preserve"> </w:t>
      </w:r>
      <w:r>
        <w:t xml:space="preserve">Orcel said.</w:t>
      </w:r>
      <w:r>
        <w:t xml:space="preserve"> </w:t>
      </w:r>
      <w:r>
        <w:t xml:space="preserve">“Now we are in a situation where we might.”</w:t>
      </w:r>
    </w:p>
    <w:p>
      <w:pPr>
        <w:pStyle w:val="BodyText"/>
      </w:pPr>
      <w:r>
        <w:t xml:space="preserve">That outcome carries a heavy capital bill. Under EU minority-holding rules, consolidating Commerzbank’s accounts without majority ownership would cost UniCredit 40% more in core capital — a penalty Orcel must weigh against the strategic prize. He expects the ECB to rule on UniCredit’s control status, and the attached capital requirements, three to six months after 3 July 2026; an extended acceptance period runs from 20 June to 3 July, with the final tally published on 8 July.</w:t>
      </w:r>
    </w:p>
    <w:p>
      <w:pPr>
        <w:pStyle w:val="BodyText"/>
      </w:pPr>
      <w:r>
        <w:t xml:space="preserve">The German state remains hostile. Berlin formally rejected UniCredit’s €39 billion binding bid, faulting both the low price and what it called the Italian bank’s</w:t>
      </w:r>
      <w:r>
        <w:t xml:space="preserve"> </w:t>
      </w:r>
      <w:r>
        <w:t xml:space="preserve">“aggressive approach,”</w:t>
      </w:r>
      <w:r>
        <w:t xml:space="preserve"> </w:t>
      </w:r>
      <w:r>
        <w:t xml:space="preserve">and Commerzbank’s board disputed claims that institutional investors backed the offer, putting their share at roughly 1%. Markets, though, are pricing in a deal: Commerzbank shares closed at €37.79 on 24 June, an 11% premium to the €34 level implied by UniCredit’s exchange ratio of 0.485 of its own shares per Commerzbank share. UniCredit says any closing is not expected before 2027, pending multiple regulatory approvals.</w:t>
      </w:r>
    </w:p>
    <w:p>
      <w:pPr>
        <w:pStyle w:val="BodyText"/>
      </w:pPr>
      <w:r>
        <w:rPr>
          <w:b/>
          <w:bCs/>
        </w:rPr>
        <w:t xml:space="preserve">References</w:t>
      </w:r>
    </w:p>
    <w:p>
      <w:pPr>
        <w:pStyle w:val="BodyText"/>
      </w:pPr>
      <w:r>
        <w:t xml:space="preserve">[30] RTÉ News. (2026, June 24). UniCredit CEO says ECB likely to declare control of Commerzbank. RTÉ. https://www.rte.ie/news/business/2026/0624/1580057-unicredit-commerzbank-deal/</w:t>
      </w:r>
      <w:r>
        <w:t xml:space="preserve"> </w:t>
      </w:r>
      <w:r>
        <w:t xml:space="preserve">[31] Global Banking and Finance Review. (2026, June 24). UniCredit CEO: ECB likely to declare control of Commerzbank given stake. Global Banking and Finance Review. https://www.globalbankingandfinance.com/unicredit-ceo-ecb-likely-declare-control-commerzbank-given/</w:t>
      </w:r>
      <w:r>
        <w:t xml:space="preserve"> </w:t>
      </w:r>
      <w:r>
        <w:t xml:space="preserve">[32] Bloomberg News. (2026, June 24). EU competition chief warns governments not to stymie bank deals. Bloomberg. https://www.bloomberg.com/news/articles/2026-06-24/eu-competition-chief-warns-governments-not-to-stymie-bank-deals</w:t>
      </w:r>
    </w:p>
    <w:p>
      <w:pPr>
        <w:pStyle w:val="BodyText"/>
      </w:pPr>
      <w:r>
        <w:rPr>
          <w:i/>
          <w:iCs/>
        </w:rPr>
        <w:t xml:space="preserve">Note: only 2 stories met T1-T4 standards for this category today.</w:t>
      </w:r>
    </w:p>
    <w:p>
      <w:r>
        <w:pict>
          <v:rect style="width:0;height:1.5pt" o:hralign="center" o:hrstd="t" o:hr="t"/>
        </w:pict>
      </w:r>
    </w:p>
    <w:bookmarkEnd w:id="27"/>
    <w:bookmarkEnd w:id="28"/>
    <w:bookmarkStart w:id="31" w:name="other-notable-events"/>
    <w:p>
      <w:pPr>
        <w:pStyle w:val="Heading2"/>
      </w:pPr>
      <w:r>
        <w:t xml:space="preserve">6. Other Notable Events</w:t>
      </w:r>
    </w:p>
    <w:bookmarkStart w:id="29" w:name="X9f447647729143d1df272f3f9a70dbd0847befb"/>
    <w:p>
      <w:pPr>
        <w:pStyle w:val="Heading3"/>
      </w:pPr>
      <w:r>
        <w:t xml:space="preserve">Germany scraps six F126 super-frigates after €2.3bn spent, Rheinmetall shares drop 13%</w:t>
      </w:r>
    </w:p>
    <w:p>
      <w:pPr>
        <w:pStyle w:val="FirstParagraph"/>
      </w:pPr>
      <w:r>
        <w:t xml:space="preserve">German Defence Minister Boris Pistorius cancelled the F126 programme on 24 June 2026 — a plan for six super-frigates that would have been the world’s largest warships built since World War II — citing</w:t>
      </w:r>
      <w:r>
        <w:t xml:space="preserve"> </w:t>
      </w:r>
      <w:r>
        <w:t xml:space="preserve">“significant delays, foreseeable cost increases, and other risks.”</w:t>
      </w:r>
      <w:r>
        <w:t xml:space="preserve"> </w:t>
      </w:r>
      <w:r>
        <w:t xml:space="preserve">Around €2.3 billion had already been spent on design, software and construction, and finishing the ships would have pushed total costs above €18 billion, against an original budget of roughly €10 billion for the six vessels.</w:t>
      </w:r>
    </w:p>
    <w:p>
      <w:pPr>
        <w:pStyle w:val="BodyText"/>
      </w:pPr>
      <w:r>
        <w:t xml:space="preserve">In their place, Berlin awarded contracts to TKMS for eight smaller MEKO A-200-class frigates, extending a March 2026 order for four. The trade-off is stark: the MEKO A-200 runs about 120 metres and 4,200 tonnes, against the F126’s planned 166 metres and 10,500 tonnes. The original programme had been led by Dutch shipbuilder Damen Schelde, awarded the contract in 2020, and the delays under that arrangement ultimately sank it.</w:t>
      </w:r>
    </w:p>
    <w:p>
      <w:pPr>
        <w:pStyle w:val="BodyText"/>
      </w:pPr>
      <w:r>
        <w:t xml:space="preserve">The market reaction was immediate and split along supplier lines. Rheinmetall shares fell as much as 13%, while TKMS rose around 10% in early trading. The cancellation lands on a politically loaded day — the same date KNDS unveiled its IPO, another German-state-backed defence champion — and the F126 was originally launched years ago by then-defence minister Ursula von der Leyen, now European Commission president. German military spending overall climbed 24% to €114 billion between 2024 and 2025.</w:t>
      </w:r>
    </w:p>
    <w:p>
      <w:pPr>
        <w:pStyle w:val="BodyText"/>
      </w:pPr>
      <w:r>
        <w:rPr>
          <w:b/>
          <w:bCs/>
        </w:rPr>
        <w:t xml:space="preserve">References</w:t>
      </w:r>
    </w:p>
    <w:p>
      <w:pPr>
        <w:pStyle w:val="BodyText"/>
      </w:pPr>
      <w:r>
        <w:t xml:space="preserve">[33] Euronews. (2026, June 24). €2 billion down the drain: German defence minister cancels world’s largest frigate. Euronews. https://euronews.com/business/2026/06/24/2-billion-down-the-drain-german-defence-minister-cancels-worlds-largest-frigate</w:t>
      </w:r>
      <w:r>
        <w:t xml:space="preserve"> </w:t>
      </w:r>
      <w:r>
        <w:t xml:space="preserve">[34] Bloomberg News. (2026, June 24). Germany said to retreat from troubled frigate plan after delays. Bloomberg. https://www.bloomberg.com/news/articles/2026-06-24/germany-said-to-retreat-from-troubled-frigate-plan-after-delays</w:t>
      </w:r>
    </w:p>
    <w:p>
      <w:r>
        <w:pict>
          <v:rect style="width:0;height:1.5pt" o:hralign="center" o:hrstd="t" o:hr="t"/>
        </w:pict>
      </w:r>
    </w:p>
    <w:bookmarkEnd w:id="29"/>
    <w:bookmarkStart w:id="30" w:name="X4deaa06902aef1d9a411d2e9c9c0a604433c892"/>
    <w:p>
      <w:pPr>
        <w:pStyle w:val="Heading3"/>
      </w:pPr>
      <w:r>
        <w:t xml:space="preserve">Deutsche Bahn radio failure halts every German train for 2.5 hours, stranding thousands</w:t>
      </w:r>
    </w:p>
    <w:p>
      <w:pPr>
        <w:pStyle w:val="FirstParagraph"/>
      </w:pPr>
      <w:r>
        <w:t xml:space="preserve">A failure in Deutsche Bahn’s GSM-R digital radio system brought Germany’s entire national rail network to a standstill late on 23 June 2026, at around 21:59 local time, halting every train at its station and stranding thousands of passengers at major hubs including Hamburg, Augsburg, Gelsenkirchen and Erfurt. Service resumed step by step shortly before 1 a.m., about two and a half hours after the failure.</w:t>
      </w:r>
    </w:p>
    <w:p>
      <w:pPr>
        <w:pStyle w:val="BodyText"/>
      </w:pPr>
      <w:r>
        <w:t xml:space="preserve">The crippled system is the spine of railway operations: GSM-R carries the voice links between train drivers and control centres, and without it trains cannot safely move. CEO Evelyn Palla said the company</w:t>
      </w:r>
      <w:r>
        <w:t xml:space="preserve"> </w:t>
      </w:r>
      <w:r>
        <w:t xml:space="preserve">“was able to stabilise the situation with an emergency system,”</w:t>
      </w:r>
      <w:r>
        <w:t xml:space="preserve"> </w:t>
      </w:r>
      <w:r>
        <w:t xml:space="preserve">and Deutsche Bahn handed out taxi and hotel vouchers to affected travellers. The operator identified the cause but did not make it public.</w:t>
      </w:r>
    </w:p>
    <w:p>
      <w:pPr>
        <w:pStyle w:val="BodyText"/>
      </w:pPr>
      <w:r>
        <w:t xml:space="preserve">The scale is what made the outage exceptional. Deutsche Bahn carries roughly five million passengers a day, and a total nationwide halt driven by a technical fault — rather than weather, strikes or a localised signalling fault — is a rare event. GSM-R is a Europe-wide railway radio standard used across the continent, and the incident renewed scrutiny of how resilient Europe’s increasingly digital rail infrastructure really is.</w:t>
      </w:r>
    </w:p>
    <w:p>
      <w:pPr>
        <w:pStyle w:val="BodyText"/>
      </w:pPr>
      <w:r>
        <w:rPr>
          <w:b/>
          <w:bCs/>
        </w:rPr>
        <w:t xml:space="preserve">References</w:t>
      </w:r>
    </w:p>
    <w:p>
      <w:pPr>
        <w:pStyle w:val="BodyText"/>
      </w:pPr>
      <w:r>
        <w:t xml:space="preserve">[35] Euronews. (2026, June 24). Technical malfunction with communications system temporarily halts entire German railway network. Euronews. https://www.euronews.com/my-europe/2026/06/24/technical-malfunction-with-communications-sytem-temporarily-halts-entire-german-railway-ne</w:t>
      </w:r>
      <w:r>
        <w:t xml:space="preserve"> </w:t>
      </w:r>
      <w:r>
        <w:t xml:space="preserve">[36] Associated Press. (2026, June 24). Trains halted across Germany by communication system problem. ABC News. https://abcnews.com/Business/wireStory/trains-halted-germany-communication-system-problem-134148113</w:t>
      </w:r>
      <w:r>
        <w:t xml:space="preserve"> </w:t>
      </w:r>
      <w:r>
        <w:t xml:space="preserve">[37] PBS NewsHour. (2026, June 24). Trains across Germany halted for hours by communication system outage. PBS NewsHour. https://www.pbs.org/newshour/world/trains-across-germany-halted-for-hours-by-communication-system-outage</w:t>
      </w:r>
    </w:p>
    <w:p>
      <w:pPr>
        <w:pStyle w:val="BodyText"/>
      </w:pPr>
      <w:r>
        <w:rPr>
          <w:i/>
          <w:iCs/>
        </w:rPr>
        <w:t xml:space="preserve">Note: only 2 stories met T1-T4 standards for this category today.</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2026-06-24T13:14:46Z</dcterms:created>
  <dcterms:modified xsi:type="dcterms:W3CDTF">2026-06-24T13:14:46Z</dcterms:modified>
</cp:coreProperties>
</file>

<file path=docProps/custom.xml><?xml version="1.0" encoding="utf-8"?>
<Properties xmlns="http://schemas.openxmlformats.org/officeDocument/2006/custom-properties" xmlns:vt="http://schemas.openxmlformats.org/officeDocument/2006/docPropsVTypes"/>
</file>