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欧洲每日热点新闻-2026年6月17日"/>
    <w:p>
      <w:pPr>
        <w:pStyle w:val="Heading1"/>
      </w:pPr>
      <w:r>
        <w:rPr>
          <w:rFonts w:hint="eastAsia"/>
        </w:rPr>
        <w:t xml:space="preserve">欧洲每日热点新闻</w:t>
      </w:r>
      <w:r>
        <w:t xml:space="preserve"> — </w:t>
      </w:r>
      <w:r>
        <w:rPr>
          <w:rFonts w:hint="eastAsia"/>
        </w:rPr>
        <w:t xml:space="preserve">2026年6月17日</w:t>
      </w:r>
    </w:p>
    <w:bookmarkStart w:id="10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欧元区5月通胀终值确认升至3.2创2023年9月以来新高"/>
    <w:p>
      <w:pPr>
        <w:pStyle w:val="Heading3"/>
      </w:pPr>
      <w:r>
        <w:rPr>
          <w:rFonts w:hint="eastAsia"/>
        </w:rPr>
        <w:t xml:space="preserve">欧元区5月通胀终值确认升至3.2%，创2023年9月以来新高</w:t>
      </w:r>
    </w:p>
    <w:p>
      <w:pPr>
        <w:pStyle w:val="FirstParagraph"/>
      </w:pPr>
      <w:r>
        <w:rPr>
          <w:rFonts w:hint="eastAsia"/>
        </w:rPr>
        <w:t xml:space="preserve">欧盟统计局（Eurostat）6月17日确认欧元区5月调和消费者价格指数（HICP）同比上涨3.2%，较4月的3.0%继续走高，为2023年9月以来最高读数。月环比上涨0.1%，欧盟整体读数从4月的3.2%升至3.3%。</w:t>
      </w:r>
    </w:p>
    <w:p>
      <w:pPr>
        <w:pStyle w:val="BodyText"/>
      </w:pPr>
      <w:r>
        <w:rPr>
          <w:rFonts w:hint="eastAsia"/>
        </w:rPr>
        <w:t xml:space="preserve">推升通胀的核心动力来自能源与服务两端。能源价格同比上涨10.9%（4月为10.8%），服务通胀从3.0%跳升至3.5%；剔除能源与未加工食品的核心通胀升至2.6%，高于6月2日公布的快报初值2.5%，并较4月2.2%的水平大幅反弹。食品、酒精及烟草通胀则从2.4%回落至2.0%，非能源工业品微升至0.9%。</w:t>
      </w:r>
    </w:p>
    <w:p>
      <w:pPr>
        <w:pStyle w:val="BodyText"/>
      </w:pPr>
      <w:r>
        <w:rPr>
          <w:rFonts w:hint="eastAsia"/>
        </w:rPr>
        <w:t xml:space="preserve">成员国之间分化明显。西班牙以3.6%居前，意大利3.3%，法国2.8%，德国2.7%；瑞典1.1%为全欧最低，丹麦与捷克均为1.8%。东南欧的罗马尼亚以9.7%领跑，保加利亚6.3%，立陶宛5.1%，反映出货币贬值与能源补贴退坡的叠加冲击。</w:t>
      </w:r>
    </w:p>
    <w:p>
      <w:pPr>
        <w:pStyle w:val="BodyText"/>
      </w:pPr>
      <w:r>
        <w:rPr>
          <w:rFonts w:hint="eastAsia"/>
        </w:rPr>
        <w:t xml:space="preserve">此次确认数据与欧洲央行（ECB）6月11日的政策决议形成直接呼应。ECB理事会当日宣布将三大关键利率上调25个基点，存款便利利率升至2.25%，并于6月17日生效——这是ECB自2023年9月结束加息周期后的首次再度紧缩，也是对此前持续约一年降息周期的逆转。央行将本轮加息归因于中东冲突带来的输入性通胀压力。Eurostat此次将核心通胀终值较快报上修0.1个百分点，意味着粘性通胀的回升幅度超出市场预期，为ECB后续维持紧缩姿态提供了更明确的数据依据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Eurostat. (2026, June 17). Annual inflation up to 3.2% in the euro area. Eurostat. https://ec.europa.eu/eurostat/en/web/products-euro-indicators/w/2-17062026-ap</w:t>
      </w:r>
      <w:r>
        <w:t xml:space="preserve"> </w:t>
      </w:r>
      <w:r>
        <w:t xml:space="preserve">[2] European Central Bank. (2026, June 11). Monetary policy decisions. European Central Bank. https://www.ecb.europa.eu/press/pr/date/2026/html/ecb.mp260611~4d41bd5e83.en.html</w:t>
      </w:r>
      <w:r>
        <w:t xml:space="preserve"> </w:t>
      </w:r>
      <w:r>
        <w:t xml:space="preserve">[3] Euronews. (2026, June 11). ECB raises interest rates for the first time in three years as Iran war fuels inflation. Euronews. https://www.euronews.com/business/2026/06/11/ecb-raises-interest-rates-for-the-first-time-in-three-years-as-iran-war-fuels-inflation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1" w:name="g7埃维昂峰会联合声明承诺加大对乌军援并加码对俄制裁"/>
    <w:p>
      <w:pPr>
        <w:pStyle w:val="Heading3"/>
      </w:pPr>
      <w:r>
        <w:rPr>
          <w:rFonts w:hint="eastAsia"/>
        </w:rPr>
        <w:t xml:space="preserve">G7埃维昂峰会联合声明，承诺加大对乌军援并加码对俄制裁</w:t>
      </w:r>
    </w:p>
    <w:p>
      <w:pPr>
        <w:pStyle w:val="FirstParagraph"/>
      </w:pPr>
      <w:r>
        <w:rPr>
          <w:rFonts w:hint="eastAsia"/>
        </w:rPr>
        <w:t xml:space="preserve">第52届七国集团峰会6月16日至17日在法国埃维昂莱班（Évian-les-Bains）召开，由法国总统马克龙主持，闭幕日发表的联合声明承诺“加大对俄罗斯战时经济的压力”，并宣布在2022年以来欧洲约2000亿欧元军事与财政援助的基础上，再追加一笔900亿欧元的对乌欧盟贷款。乌克兰总统泽连斯基已于6月16日抵会。</w:t>
      </w:r>
    </w:p>
    <w:p>
      <w:pPr>
        <w:pStyle w:val="BodyText"/>
      </w:pPr>
      <w:r>
        <w:rPr>
          <w:rFonts w:hint="eastAsia"/>
        </w:rPr>
        <w:t xml:space="preserve">声明同时延长了对乌出口美制爱国者反弹道导弹系统的许可期限，并承诺“加强我们的制裁，包括对油气部门的制裁”。在伊核议题上，G7领导人将当前局势定性为“防止伊朗获取任何核武器的历史性机遇”，呼应了美伊6月15日达成的协议。</w:t>
      </w:r>
    </w:p>
    <w:p>
      <w:pPr>
        <w:pStyle w:val="BodyText"/>
      </w:pPr>
      <w:r>
        <w:rPr>
          <w:rFonts w:hint="eastAsia"/>
        </w:rPr>
        <w:t xml:space="preserve">欧盟由欧洲理事会主席安东尼奥·科斯塔（António</w:t>
      </w:r>
      <w:r>
        <w:t xml:space="preserve"> </w:t>
      </w:r>
      <w:r>
        <w:rPr>
          <w:rFonts w:hint="eastAsia"/>
        </w:rPr>
        <w:t xml:space="preserve">Costa）和欧盟委员会主席冯德莱恩共同代表出席。本届峰会的外延对话名单延伸至巴西、印度、乌克兰、埃及、阿联酋、卡塔尔、肯尼亚和韩国，凸显G7试图将“全球南方”中等强国纳入对俄施压与供应链重构的努力。</w:t>
      </w:r>
    </w:p>
    <w:p>
      <w:pPr>
        <w:pStyle w:val="BodyText"/>
      </w:pPr>
      <w:r>
        <w:rPr>
          <w:rFonts w:hint="eastAsia"/>
        </w:rPr>
        <w:t xml:space="preserve">900亿欧元新贷款与现有援助叠加后，欧洲对乌克兰的累计承诺已远超美国——这一结构性变化在过去一年里持续重塑跨大西洋安全分工。Macron借东道主之机推动设立常设G7关键矿产秘书处，但据多家媒体披露，该提议遭美方否决，反映出G7内部在对华博弈节奏上的分歧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[4] EU Council. (2026, June 17). G7 leaders’ joint statements, Évian, France, 16-17 June 2026. Council of the European Union. https://www.consilium.europa.eu/en/press/press-releases/2026/06/17/g7-leaders-joint-statements-evian-france-16-17-june-2026/</w:t>
      </w:r>
      <w:r>
        <w:t xml:space="preserve"> </w:t>
      </w:r>
      <w:r>
        <w:t xml:space="preserve">[5] Euronews. (2026, June 17). G7 leaders agree to increase weapons deliveries for Ukraine, step up pressure on Russian economy. Euronews. https://www.euronews.com/my-europe/2026/06/17/g7-leaders-agree-to-increase-weapons-deliveries-for-ukraine-step-up-pressure-on-russian-ec</w:t>
      </w:r>
    </w:p>
    <w:p>
      <w:r>
        <w:pict>
          <v:rect style="width:0;height:1.5pt" o:hralign="center" o:hrstd="t" o:hr="t"/>
        </w:pict>
      </w:r>
    </w:p>
    <w:bookmarkEnd w:id="11"/>
    <w:bookmarkStart w:id="12" w:name="欧洲议会通过史上最严移民遣返法规最长拘留期延至两年"/>
    <w:p>
      <w:pPr>
        <w:pStyle w:val="Heading3"/>
      </w:pPr>
      <w:r>
        <w:rPr>
          <w:rFonts w:hint="eastAsia"/>
        </w:rPr>
        <w:t xml:space="preserve">欧洲议会通过“史上最严”移民遣返法规，最长拘留期延至两年</w:t>
      </w:r>
    </w:p>
    <w:p>
      <w:pPr>
        <w:pStyle w:val="FirstParagraph"/>
      </w:pPr>
      <w:r>
        <w:rPr>
          <w:rFonts w:hint="eastAsia"/>
        </w:rPr>
        <w:t xml:space="preserve">欧洲议会（EP）6月17日在斯特拉斯堡全会以418票赞成、218票反对、30票弃权通过新版《遣返条例》（Return</w:t>
      </w:r>
      <w:r>
        <w:t xml:space="preserve"> </w:t>
      </w:r>
      <w:r>
        <w:rPr>
          <w:rFonts w:hint="eastAsia"/>
        </w:rPr>
        <w:t xml:space="preserve">Regulation），将非法滞留移民的最长行政拘留期从现行的6个月延长至2年（每次延期6个月，对涉安全风险者可无限延长），入境禁令时限则由5年延长至10年，对涉安全人员可终身禁入。</w:t>
      </w:r>
    </w:p>
    <w:p>
      <w:pPr>
        <w:pStyle w:val="BodyText"/>
      </w:pPr>
      <w:r>
        <w:rPr>
          <w:rFonts w:hint="eastAsia"/>
        </w:rPr>
        <w:t xml:space="preserve">法案由议会公民自由委员会（LIBE）于6月15日通过，闭门审议历时不足48小时即提交全会表决。表决格局上，中右翼欧洲人民党党团（EPP）与欧洲保守与改革党团（ECR）、爱国者党团及主权国家欧洲党团联手通过法案，社民党党团（S&amp;D）副主席安娜·卡塔琳娜·门德斯（Ana</w:t>
      </w:r>
      <w:r>
        <w:t xml:space="preserve"> Catarina </w:t>
      </w:r>
      <w:r>
        <w:rPr>
          <w:rFonts w:hint="eastAsia"/>
        </w:rPr>
        <w:t xml:space="preserve">Mendes）在会上警告，“该条例可能将仅在几年前的欧盟还难以想象的、法律上存疑的做法常态化”。</w:t>
      </w:r>
    </w:p>
    <w:p>
      <w:pPr>
        <w:pStyle w:val="BodyText"/>
      </w:pPr>
      <w:r>
        <w:rPr>
          <w:rFonts w:hint="eastAsia"/>
        </w:rPr>
        <w:t xml:space="preserve">新规取代了沿用近20年的2008年版《遣返指令》，是2024年通过的《欧盟移民与庇护新公约》（EU</w:t>
      </w:r>
      <w:r>
        <w:t xml:space="preserve"> Pact on Migration and </w:t>
      </w:r>
      <w:r>
        <w:rPr>
          <w:rFonts w:hint="eastAsia"/>
        </w:rPr>
        <w:t xml:space="preserve">Asylum）正式于6月12日生效后落地的首项重大配套立法。原《公约》侧重边境程序、筛查与紧急机制改革，遣返环节当时未纳入重制；此次以“条例”而非“指令”形式立法，意味着规则可绕过成员国转化程序直接适用，对各国行政裁量空间形成更强约束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Euronews. (2026, June 17). EU Parliament approves</w:t>
      </w:r>
      <w:r>
        <w:t xml:space="preserve"> </w:t>
      </w:r>
      <w:r>
        <w:t xml:space="preserve">“strictest-ever”</w:t>
      </w:r>
      <w:r>
        <w:t xml:space="preserve"> </w:t>
      </w:r>
      <w:r>
        <w:t xml:space="preserve">migration law. Euronews. https://www.euronews.com/my-europe/2026/06/17/eu-parliament-approves-strictest-ever-migration-law</w:t>
      </w:r>
    </w:p>
    <w:p>
      <w:r>
        <w:pict>
          <v:rect style="width:0;height:1.5pt" o:hralign="center" o:hrstd="t" o:hr="t"/>
        </w:pict>
      </w:r>
    </w:p>
    <w:bookmarkEnd w:id="12"/>
    <w:bookmarkStart w:id="13" w:name="欧洲议会辩论社交媒体与儿童心理健康拟统一16岁数字最低年龄"/>
    <w:p>
      <w:pPr>
        <w:pStyle w:val="Heading3"/>
      </w:pPr>
      <w:r>
        <w:rPr>
          <w:rFonts w:hint="eastAsia"/>
        </w:rPr>
        <w:t xml:space="preserve">欧洲议会辩论社交媒体与儿童心理健康，拟统一16岁数字最低年龄</w:t>
      </w:r>
    </w:p>
    <w:p>
      <w:pPr>
        <w:pStyle w:val="FirstParagraph"/>
      </w:pPr>
      <w:r>
        <w:rPr>
          <w:rFonts w:hint="eastAsia"/>
        </w:rPr>
        <w:t xml:space="preserve">欧洲议会6月17日在斯特拉斯堡就“保护儿童在社交媒体上的安全与心理健康”举行全会辩论，推动设立欧盟统一的16岁数字最低使用年龄，并要求13至16岁年龄段用户必须取得家长同意方可注册——这是议会2025年11月通过非立法性报告以来的首次正式跟进。</w:t>
      </w:r>
    </w:p>
    <w:p>
      <w:pPr>
        <w:pStyle w:val="BodyText"/>
      </w:pPr>
      <w:r>
        <w:rPr>
          <w:rFonts w:hint="eastAsia"/>
        </w:rPr>
        <w:t xml:space="preserve">议会援引2025年欧洲晴雨表（Eurobarometer）调查指出，超过90%的受访欧盟公民认为相关立法具有紧迫性，93%担忧社交平台对青少年心理健康的影响，92%关注网络霸凌，92%担忧不当内容触达未成年人。欧盟专家小组的研究结论预计将于2026年夏季前发布，将作为后续立法工具的依据。</w:t>
      </w:r>
    </w:p>
    <w:p>
      <w:pPr>
        <w:pStyle w:val="BodyText"/>
      </w:pPr>
      <w:r>
        <w:rPr>
          <w:rFonts w:hint="eastAsia"/>
        </w:rPr>
        <w:t xml:space="preserve">辩论以《数字服务法》（DSA）为现行基准展开。议员们指出，DSA虽已对超大平台设有问责框架，但在执行层面对未成年人保护仍嫌不足，缺乏在年龄核验、推荐算法、家长控制工具方面的硬性最低标准。统一最低年龄若获通过，将取代当前成员国从13岁到16岁不等的拼图式规则，对TikTok、Instagram、Snapchat等主流平台的注册流程构成直接重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European Parliament. (2026, June 15). Social media: protecting children’s safety and mental health. European Parliament. https://www.europarl.europa.eu/news/en/agenda/plenary-news/2026-06-15/7/social-media-protecting-children-s-safety-and-mental-health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5" w:name="ai巨头齐聚g7埃维昂工作午餐欧洲寻求制衡美方主导"/>
    <w:p>
      <w:pPr>
        <w:pStyle w:val="Heading3"/>
      </w:pPr>
      <w:r>
        <w:rPr>
          <w:rFonts w:hint="eastAsia"/>
        </w:rPr>
        <w:t xml:space="preserve">AI巨头齐聚G7埃维昂工作午餐，欧洲寻求制衡美方主导</w:t>
      </w:r>
    </w:p>
    <w:p>
      <w:pPr>
        <w:pStyle w:val="FirstParagraph"/>
      </w:pPr>
      <w:r>
        <w:rPr>
          <w:rFonts w:hint="eastAsia"/>
        </w:rPr>
        <w:t xml:space="preserve">OpenAI首席执行官山姆·奥尔特曼（Sam</w:t>
      </w:r>
      <w:r>
        <w:t xml:space="preserve"> </w:t>
      </w:r>
      <w:r>
        <w:rPr>
          <w:rFonts w:hint="eastAsia"/>
        </w:rPr>
        <w:t xml:space="preserve">Altman）、Google</w:t>
      </w:r>
      <w:r>
        <w:t xml:space="preserve"> </w:t>
      </w:r>
      <w:r>
        <w:rPr>
          <w:rFonts w:hint="eastAsia"/>
        </w:rPr>
        <w:t xml:space="preserve">DeepMind首席执行官戴密斯·哈萨比斯（Demis</w:t>
      </w:r>
      <w:r>
        <w:t xml:space="preserve"> </w:t>
      </w:r>
      <w:r>
        <w:rPr>
          <w:rFonts w:hint="eastAsia"/>
        </w:rPr>
        <w:t xml:space="preserve">Hassabis）、Anthropic首席执行官达里奥·阿莫迪（Dario</w:t>
      </w:r>
      <w:r>
        <w:t xml:space="preserve"> </w:t>
      </w:r>
      <w:r>
        <w:rPr>
          <w:rFonts w:hint="eastAsia"/>
        </w:rPr>
        <w:t xml:space="preserve">Amodei）、法国Mistral首席执行官阿瑟·门施（Arthur</w:t>
      </w:r>
      <w:r>
        <w:t xml:space="preserve"> </w:t>
      </w:r>
      <w:r>
        <w:rPr>
          <w:rFonts w:hint="eastAsia"/>
        </w:rPr>
        <w:t xml:space="preserve">Mensch）、加拿大Cohere首席执行官艾丹·戈麦斯（Aidan</w:t>
      </w:r>
      <w:r>
        <w:t xml:space="preserve"> </w:t>
      </w:r>
      <w:r>
        <w:rPr>
          <w:rFonts w:hint="eastAsia"/>
        </w:rPr>
        <w:t xml:space="preserve">Gomez）等顶级AI企业高管6月17日齐聚法国埃维昂G7峰会工作午餐，Meta、Salesforce、Black</w:t>
      </w:r>
      <w:r>
        <w:t xml:space="preserve"> Forest Labs、Domyn、Sakana </w:t>
      </w:r>
      <w:r>
        <w:rPr>
          <w:rFonts w:hint="eastAsia"/>
        </w:rPr>
        <w:t xml:space="preserve">AI、Synthesia等公司亦在受邀之列。</w:t>
      </w:r>
    </w:p>
    <w:p>
      <w:pPr>
        <w:pStyle w:val="BodyText"/>
      </w:pPr>
      <w:r>
        <w:rPr>
          <w:rFonts w:hint="eastAsia"/>
        </w:rPr>
        <w:t xml:space="preserve">会议在特朗普政府以国家安全为由叫停Anthropic向境外出口Fable</w:t>
      </w:r>
      <w:r>
        <w:t xml:space="preserve"> </w:t>
      </w:r>
      <w:r>
        <w:rPr>
          <w:rFonts w:hint="eastAsia"/>
        </w:rPr>
        <w:t xml:space="preserve">5与Mythos</w:t>
      </w:r>
      <w:r>
        <w:t xml:space="preserve"> </w:t>
      </w:r>
      <w:r>
        <w:rPr>
          <w:rFonts w:hint="eastAsia"/>
        </w:rPr>
        <w:t xml:space="preserve">5模型的背景下召开，凸显欧洲对单一国别AI供应链的脆弱性焦虑。布鲁塞尔智库CERRE分析师扎克·迈耶斯（Zach</w:t>
      </w:r>
      <w:r>
        <w:t xml:space="preserve"> </w:t>
      </w:r>
      <w:r>
        <w:rPr>
          <w:rFonts w:hint="eastAsia"/>
        </w:rPr>
        <w:t xml:space="preserve">Meyers）警告，过度依赖美国基础模型让欧洲“可能陷入极其脆弱的处境”。加拿大总理马克·卡尼则强调G7必须确保各国对前沿模型“不受阻碍的访问”。</w:t>
      </w:r>
    </w:p>
    <w:p>
      <w:pPr>
        <w:pStyle w:val="BodyText"/>
      </w:pPr>
      <w:r>
        <w:rPr>
          <w:rFonts w:hint="eastAsia"/>
        </w:rPr>
        <w:t xml:space="preserve">Cohere的戈麦斯当场提议将其与加拿大、德国的主权AI合作模式“拓展至所有G7国家”。德国数字化转型部长卡尔斯滕·维尔德贝格尔（Karsten</w:t>
      </w:r>
      <w:r>
        <w:t xml:space="preserve"> </w:t>
      </w:r>
      <w:r>
        <w:rPr>
          <w:rFonts w:hint="eastAsia"/>
        </w:rPr>
        <w:t xml:space="preserve">Wildberger）则以“主权不是孤立，而是从实力地位出发的开放”为德方主权战略定调。</w:t>
      </w:r>
    </w:p>
    <w:p>
      <w:pPr>
        <w:pStyle w:val="BodyText"/>
      </w:pPr>
      <w:r>
        <w:rPr>
          <w:rFonts w:hint="eastAsia"/>
        </w:rPr>
        <w:t xml:space="preserve">此次圆桌与法国2025年2月AI行动峰会上Macron推出的1090亿欧元主权AI投资蓝图、Bpifrance对Mistral等“AI优先”企业逾10亿欧元的入股，以及德国2030年数据中心算力翻两番的国家战略形成一脉相承的政策接力——欧洲正试图用资本、规则与外交协同的方式，在生成式AI的下一轮竞赛中保住议价能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Associated Press. (2026, June 17). AI executives gather at G7 as Europeans seek checks on American dominance. WRAL (AP wire). https://www.wral.com/news/ap/7d783-ai-executives-gather-at-g7-as-europeans-seek-checks-on-american-dominance/</w:t>
      </w:r>
    </w:p>
    <w:p>
      <w:r>
        <w:pict>
          <v:rect style="width:0;height:1.5pt" o:hralign="center" o:hrstd="t" o:hr="t"/>
        </w:pict>
      </w:r>
    </w:p>
    <w:bookmarkEnd w:id="15"/>
    <w:bookmarkStart w:id="16" w:name="法德在vivatech联袂呼吁欧洲ai主权德国以年度国家高调亮相"/>
    <w:p>
      <w:pPr>
        <w:pStyle w:val="Heading3"/>
      </w:pPr>
      <w:r>
        <w:rPr>
          <w:rFonts w:hint="eastAsia"/>
        </w:rPr>
        <w:t xml:space="preserve">法德在VivaTech联袂呼吁欧洲AI主权，德国以“年度国家”高调亮相</w:t>
      </w:r>
    </w:p>
    <w:p>
      <w:pPr>
        <w:pStyle w:val="FirstParagraph"/>
      </w:pPr>
      <w:r>
        <w:rPr>
          <w:rFonts w:hint="eastAsia"/>
        </w:rPr>
        <w:t xml:space="preserve">法国经济、财政、产业与能源主权部长罗兰·莱斯库尔（Roland</w:t>
      </w:r>
      <w:r>
        <w:t xml:space="preserve"> </w:t>
      </w:r>
      <w:r>
        <w:rPr>
          <w:rFonts w:hint="eastAsia"/>
        </w:rPr>
        <w:t xml:space="preserve">Lescure）与德国数字化转型部长卡尔斯滕·维尔德贝格尔6月17日在巴黎凡尔赛门展览中心开幕的VivaTech</w:t>
      </w:r>
      <w:r>
        <w:t xml:space="preserve"> </w:t>
      </w:r>
      <w:r>
        <w:rPr>
          <w:rFonts w:hint="eastAsia"/>
        </w:rPr>
        <w:t xml:space="preserve">2026大会上联袂登台，呼吁打造欧洲自主可控的AI生态。展会将持续至6月20日。</w:t>
      </w:r>
    </w:p>
    <w:p>
      <w:pPr>
        <w:pStyle w:val="BodyText"/>
      </w:pPr>
      <w:r>
        <w:rPr>
          <w:rFonts w:hint="eastAsia"/>
        </w:rPr>
        <w:t xml:space="preserve">德国作为本届“年度国家”（Country</w:t>
      </w:r>
      <w:r>
        <w:t xml:space="preserve"> of the </w:t>
      </w:r>
      <w:r>
        <w:rPr>
          <w:rFonts w:hint="eastAsia"/>
        </w:rPr>
        <w:t xml:space="preserve">Year）拿出800平方米展位，集结200家初创企业、14个联邦州及12家政府机构。莱斯库尔直言“没有谁能单打独斗”，并称“未来十年将是关键期”；维尔德贝格尔则以“规则可能一夜之间改变，主权意味着我们仍能行动”回应跨大西洋监管不确定性。</w:t>
      </w:r>
    </w:p>
    <w:p>
      <w:pPr>
        <w:pStyle w:val="BodyText"/>
      </w:pPr>
      <w:r>
        <w:rPr>
          <w:rFonts w:hint="eastAsia"/>
        </w:rPr>
        <w:t xml:space="preserve">两国共同关切的焦点是欧洲云成本——本土云服务报价较非欧洲替代方案最高贵40%，直接限制了欧盟企业部署主权AI算力的能力。德国正推进2030年将国内AI算力翻两番的国家数据中心战略，与法国2025年AI行动峰会推出的算力投资蓝图遥相呼应。</w:t>
      </w:r>
    </w:p>
    <w:p>
      <w:pPr>
        <w:pStyle w:val="BodyText"/>
      </w:pPr>
      <w:r>
        <w:rPr>
          <w:rFonts w:hint="eastAsia"/>
        </w:rPr>
        <w:t xml:space="preserve">VivaTech的舞台在G7埃维昂AI圆桌结束数小时后接力开启，呈现出欧洲AI政策的“双轨”特征：在G7层面争取与美方平等议价、在欧盟内部以法德轴心构筑产业自给底盘。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Euronews. (2026, June 17). France and Germany call for European AI sovereignty at VivaTech. Euronews. https://www.euronews.com/next/2026/06/17/france-and-germany-call-for-european-ai-sovereignty-at-vivatech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8" w:name="法国今夏第二波热浪来袭巴黎圣马丁运河临时开放游泳"/>
    <w:p>
      <w:pPr>
        <w:pStyle w:val="Heading3"/>
      </w:pPr>
      <w:r>
        <w:rPr>
          <w:rFonts w:hint="eastAsia"/>
        </w:rPr>
        <w:t xml:space="preserve">法国今夏第二波热浪来袭，巴黎圣马丁运河临时开放游泳</w:t>
      </w:r>
    </w:p>
    <w:p>
      <w:pPr>
        <w:pStyle w:val="FirstParagraph"/>
      </w:pPr>
      <w:r>
        <w:rPr>
          <w:rFonts w:hint="eastAsia"/>
        </w:rPr>
        <w:t xml:space="preserve">法国气象局（Météo-France）6月17日预报当日全境最高气温将达36至37摄氏度，南部与东部地区周日6月21日（夏至）可能逼近40摄氏度——这是法国2026年入夏以来的第二波热浪，首波热浪发生在5月下旬，伦敦Kew</w:t>
      </w:r>
      <w:r>
        <w:t xml:space="preserve"> </w:t>
      </w:r>
      <w:r>
        <w:rPr>
          <w:rFonts w:hint="eastAsia"/>
        </w:rPr>
        <w:t xml:space="preserve">Gardens于5月26日录得35.1摄氏度。气象局发言人克里斯特尔·罗贝尔（Christelle</w:t>
      </w:r>
      <w:r>
        <w:t xml:space="preserve"> </w:t>
      </w:r>
      <w:r>
        <w:rPr>
          <w:rFonts w:hint="eastAsia"/>
        </w:rPr>
        <w:t xml:space="preserve">Robert）出面发布预警。</w:t>
      </w:r>
    </w:p>
    <w:p>
      <w:pPr>
        <w:pStyle w:val="BodyText"/>
      </w:pPr>
      <w:r>
        <w:rPr>
          <w:rFonts w:hint="eastAsia"/>
        </w:rPr>
        <w:t xml:space="preserve">巴黎市政府配套提前启动巴黎10区圣马丁运河（Canal</w:t>
      </w:r>
      <w:r>
        <w:t xml:space="preserve"> </w:t>
      </w:r>
      <w:r>
        <w:rPr>
          <w:rFonts w:hint="eastAsia"/>
        </w:rPr>
        <w:t xml:space="preserve">Saint-Martin）100米河段的市民游泳项目，自6月17日起每日下午4时至8时开放。代理市长埃马纽埃尔·格雷古瓦尔（Emmanuel</w:t>
      </w:r>
      <w:r>
        <w:t xml:space="preserve"> </w:t>
      </w:r>
      <w:r>
        <w:rPr>
          <w:rFonts w:hint="eastAsia"/>
        </w:rPr>
        <w:t xml:space="preserve">Grégoire）与10区区长亚历山德拉·科德巴（Alexandra</w:t>
      </w:r>
      <w:r>
        <w:t xml:space="preserve"> </w:t>
      </w:r>
      <w:r>
        <w:rPr>
          <w:rFonts w:hint="eastAsia"/>
        </w:rPr>
        <w:t xml:space="preserve">Cordebard）均亲临现场。</w:t>
      </w:r>
    </w:p>
    <w:p>
      <w:pPr>
        <w:pStyle w:val="BodyText"/>
      </w:pPr>
      <w:r>
        <w:rPr>
          <w:rFonts w:hint="eastAsia"/>
        </w:rPr>
        <w:t xml:space="preserve">热浪频次的长期数据是这则民生新闻的真正分量所在：自1947年有记录以来，法国共经历51次热浪，其中34次发生于2000年之后，26次发生于2011年之后——气候变暖正以肉眼可见的方式压缩高温事件的回归周期。2003年8月那场至今仍是欧洲噩梦的极端热浪导致法国超额死亡14947人，全欧死亡人数超过3万；此后法国建立的“高温国家计划”将易感人群（独居老人、慢性病患者、户外工作者）的死亡率较2003年水平压降了约90%。当下市政当局把开放城市水域作为应急工具，本质上是将公共空间纳入气候适应策略——而非单纯的夏日福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The Local France. (2026, June 17). France braces for heatwave with canal swimming allowed in Paris. The Local. https://www.thelocal.fr/20260617/france-braces-for-heatwave-with-canal-swimming-allowed-in-paris</w:t>
      </w:r>
      <w:r>
        <w:t xml:space="preserve"> </w:t>
      </w:r>
      <w:r>
        <w:t xml:space="preserve">[11] Euronews. (2026, June 17). Paris city hall opens swimming in Canal Saint-Martin ahead of new heatwave. Euronews. https://www.euronews.com/2026/06/17/paris-city-hall-opens-swimming-in-canal-saint-martin-ahead-of-new-heatwave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0" w:name="裕信银行对德国商业银行要约期截止合并持股升至42.4"/>
    <w:p>
      <w:pPr>
        <w:pStyle w:val="Heading3"/>
      </w:pPr>
      <w:r>
        <w:rPr>
          <w:rFonts w:hint="eastAsia"/>
        </w:rPr>
        <w:t xml:space="preserve">裕信银行对德国商业银行要约期截止，合并持股升至42.4%</w:t>
      </w:r>
    </w:p>
    <w:p>
      <w:pPr>
        <w:pStyle w:val="FirstParagraph"/>
      </w:pPr>
      <w:r>
        <w:rPr>
          <w:rFonts w:hint="eastAsia"/>
        </w:rPr>
        <w:t xml:space="preserve">意大利裕信银行（UniCredit）对德国商业银行（Commerzbank）总价386亿欧元（连同已持股份折合约400亿欧元）的自愿换股要约主要承购期于6月17日法兰克福时间午夜（22:00</w:t>
      </w:r>
      <w:r>
        <w:t xml:space="preserve"> </w:t>
      </w:r>
      <w:r>
        <w:rPr>
          <w:rFonts w:hint="eastAsia"/>
        </w:rPr>
        <w:t xml:space="preserve">GMT）截止，初步承购率为12.41%；叠加裕信此前持有的26.77%股权与3.22%股本结算衍生品头寸后，合并持股升至42.4%，正式结果将于6月19日公布。</w:t>
      </w:r>
    </w:p>
    <w:p>
      <w:pPr>
        <w:pStyle w:val="BodyText"/>
      </w:pPr>
      <w:r>
        <w:rPr>
          <w:rFonts w:hint="eastAsia"/>
        </w:rPr>
        <w:t xml:space="preserve">按德国法规，30%即触发强制要约义务，裕信此次的合并持股已远超该门槛。要约将以原价延长至6月20日至7月3日，最终结果定于7月8日揭晓。然而ECB的合并授权预计要到2026年三季度之后方可下达，德国联邦政府6月17日已正式拒绝该要约——延续了自2024年9月裕信首次入股以来柏林“反对意大利银行接管”的一贯立场。</w:t>
      </w:r>
    </w:p>
    <w:p>
      <w:pPr>
        <w:pStyle w:val="BodyText"/>
      </w:pPr>
      <w:r>
        <w:rPr>
          <w:rFonts w:hint="eastAsia"/>
        </w:rPr>
        <w:t xml:space="preserve">裕信首席执行官安德烈·奥赛尔（Andrea</w:t>
      </w:r>
      <w:r>
        <w:t xml:space="preserve"> </w:t>
      </w:r>
      <w:r>
        <w:rPr>
          <w:rFonts w:hint="eastAsia"/>
        </w:rPr>
        <w:t xml:space="preserve">Orcel）当日表示，相关变革“在德国商业银行落地需要数年时间”。裕信以市值计为欧洲第二大银行集团，自2024年9月趁德国财政部减持商业银行股份之机切入以来，已通过股权与衍生品组合分批增持——2024年9月一度达28%，2026年3月推出350亿欧元正式换股要约（每1股商业银行换0.485股裕信），至本次主要承购期结束时累计触达42.4%。这一跨境合并若最终获ECB放行，将是欧元区银行业自欧债危机后规模最大的并购案，也是欧盟“银行业联盟”实质性推进的一个试金石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Euronews. (2026, June 16). Deadline looms for UniCredit’s hostile bid for Commerzbank. Euronews. https://www.euronews.com/business/2026/06/16/deadline-looms-for-unicredits-hostile-bid-for-commerzbank</w:t>
      </w:r>
      <w:r>
        <w:t xml:space="preserve"> </w:t>
      </w:r>
      <w:r>
        <w:t xml:space="preserve">[13] CNBC. (2024, December 18). UniCredit raises stake in Commerzbank to 28% as Orcel ups ante on pursuit. CNBC. https://www.cnbc.com/2024/12/18/unicredit-raises-stake-in-commerzbank-to-28percent-through-derivatives.html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2" w:name="g7埃维昂闭幕日聚焦关键矿产欧洲理事会布鲁塞尔接棒议程"/>
    <w:p>
      <w:pPr>
        <w:pStyle w:val="Heading3"/>
      </w:pPr>
      <w:r>
        <w:rPr>
          <w:rFonts w:hint="eastAsia"/>
        </w:rPr>
        <w:t xml:space="preserve">G7埃维昂闭幕日聚焦关键矿产，欧洲理事会布鲁塞尔接棒议程</w:t>
      </w:r>
    </w:p>
    <w:p>
      <w:pPr>
        <w:pStyle w:val="FirstParagraph"/>
      </w:pPr>
      <w:r>
        <w:rPr>
          <w:rFonts w:hint="eastAsia"/>
        </w:rPr>
        <w:t xml:space="preserve">第52届G7埃维昂峰会6月17日进入闭幕日，议程焦点转向关键矿产供应链——东道主法国推动设立常设G7关键矿产秘书处（G7</w:t>
      </w:r>
      <w:r>
        <w:t xml:space="preserve"> Critical Minerals </w:t>
      </w:r>
      <w:r>
        <w:rPr>
          <w:rFonts w:hint="eastAsia"/>
        </w:rPr>
        <w:t xml:space="preserve">Secretariat），意在将2025年加拿大卡纳纳斯基斯峰会启动的64亿美元、26个项目的关键矿产行动计划机制化，以削弱对华原料依赖。中国目前控制全球约85%的稀土加工产能，2025年稀土氧化物当量矿产产量27万吨，远超美国的5.1万吨和澳大利亚的2.9万吨；欧盟全部重稀土与85%的轻稀土仍依赖自华进口。</w:t>
      </w:r>
    </w:p>
    <w:p>
      <w:pPr>
        <w:pStyle w:val="BodyText"/>
      </w:pPr>
      <w:r>
        <w:rPr>
          <w:rFonts w:hint="eastAsia"/>
        </w:rPr>
        <w:t xml:space="preserve">在能源与债市层面，美伊6月15日达成协议、霍尔木兹海峡恢复通航后，WTI原油大跌4.8%至每桶80.75美元，德国10年期国债收益率上行至2.95%附近，反映出地缘溢价收敛与ECB加息路径的双重定价。</w:t>
      </w:r>
    </w:p>
    <w:p>
      <w:pPr>
        <w:pStyle w:val="BodyText"/>
      </w:pPr>
      <w:r>
        <w:rPr>
          <w:rFonts w:hint="eastAsia"/>
        </w:rPr>
        <w:t xml:space="preserve">接棒舞台是6月18日至19日在布鲁塞尔召开的欧洲理事会，由欧洲理事会主席科斯塔召集。会议将正式启动乌克兰与摩尔多瓦的入盟谈判——此前匈牙利新政府5月上台后撤回了奥尔班政府对该程序的两年期否决，欧盟27国于6月12日就解锁谈判达成一致，6月15日已在卢森堡分别召开两国的政府间会议，正式开启“基本面”（Fundamentals）首章节谈判。欧盟扩大事务专员预计其余五个章节将于7月内全部打开。</w:t>
      </w:r>
    </w:p>
    <w:p>
      <w:pPr>
        <w:pStyle w:val="BodyText"/>
      </w:pPr>
      <w:r>
        <w:rPr>
          <w:rFonts w:hint="eastAsia"/>
        </w:rPr>
        <w:t xml:space="preserve">巴黎VivaTech大会6月17日至20日并行举办，欧洲全周议程在外交、安全、技术与扩员四条主线上同步推进——埃维昂的G7声明、布鲁塞尔的入盟决定与凡尔赛门的产业对话相互呼应，共同构成欧洲在Trump二任、对华博弈、对乌持久战三重压力下的政策应对底色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U.S. News &amp; World Report / Reuters. (2026, June 17). G7 leaders tackle reliance on China for critical minerals. U.S. News &amp; World Report. https://www.usnews.com/news/world/articles/2026-06-17/g7-leaders-tackle-reliance-on-china-for-critical-minerals</w:t>
      </w:r>
      <w:r>
        <w:t xml:space="preserve"> </w:t>
      </w:r>
      <w:r>
        <w:t xml:space="preserve">[15] Al Jazeera. (2026, June 12). EU agrees launch of accession process for Ukraine and Moldova. Al Jazeera. https://www.aljazeera.com/news/2026/6/12/eu-agrees-launch-of-accession-process-for-ukraine-and-moldova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2026-06-17T12:39:17Z</dcterms:created>
  <dcterms:modified xsi:type="dcterms:W3CDTF">2026-06-17T12:39:17Z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