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中国每日热点新闻-2026年6月22日"/>
    <w:p>
      <w:pPr>
        <w:pStyle w:val="Heading1"/>
      </w:pPr>
      <w:r>
        <w:rPr>
          <w:rFonts w:hint="eastAsia"/>
        </w:rPr>
        <w:t xml:space="preserve">中国每日热点新闻</w:t>
      </w:r>
      <w:r>
        <w:t xml:space="preserve"> — </w:t>
      </w:r>
      <w:r>
        <w:rPr>
          <w:rFonts w:hint="eastAsia"/>
        </w:rPr>
        <w:t xml:space="preserve">2026年6月22日</w:t>
      </w:r>
    </w:p>
    <w:bookmarkStart w:id="12" w:name="一经济与市场"/>
    <w:p>
      <w:pPr>
        <w:pStyle w:val="Heading2"/>
      </w:pPr>
      <w:r>
        <w:rPr>
          <w:rFonts w:hint="eastAsia"/>
        </w:rPr>
        <w:t xml:space="preserve">一、经济与市场</w:t>
      </w:r>
    </w:p>
    <w:bookmarkStart w:id="9" w:name="一年期lpr连续第13个月维持3.00央行按兵不动"/>
    <w:p>
      <w:pPr>
        <w:pStyle w:val="Heading3"/>
      </w:pPr>
      <w:r>
        <w:rPr>
          <w:rFonts w:hint="eastAsia"/>
        </w:rPr>
        <w:t xml:space="preserve">一年期LPR连续第13个月维持3.00%，央行按兵不动</w:t>
      </w:r>
    </w:p>
    <w:p>
      <w:pPr>
        <w:pStyle w:val="FirstParagraph"/>
      </w:pPr>
      <w:r>
        <w:rPr>
          <w:rFonts w:hint="eastAsia"/>
        </w:rPr>
        <w:t xml:space="preserve">中国人民银行6月22日（周一）将一年期贷款市场报价利率（LPR）维持在3.00%，五年期LPR维持在3.50%，为连续第13个月不作调整。这一结果毫无悬念——路透社调查的30家市场参与者全部预期不变。LPR每月由18家指定商业银行报价形成，是企业和个人贷款定价的基准。</w:t>
      </w:r>
    </w:p>
    <w:p>
      <w:pPr>
        <w:pStyle w:val="BodyText"/>
      </w:pPr>
      <w:r>
        <w:rPr>
          <w:rFonts w:hint="eastAsia"/>
        </w:rPr>
        <w:t xml:space="preserve">按兵不动并非因为没有空间。央行行长潘功胜在上周的陆家嘴论坛上释放过宽松信号，年内多次表态称降准降息仍有余地。但人民币近期走弱限制了行动选择：若在此时降息，将进一步压低人民币、加剧资本外流压力。央行近期把美元兑人民币中间价定得弱于路透社预估，显示其对货币贬值有一定容忍度，背景是5月出口同比下滑。</w:t>
      </w:r>
    </w:p>
    <w:p>
      <w:pPr>
        <w:pStyle w:val="BodyText"/>
      </w:pPr>
      <w:r>
        <w:t xml:space="preserve">BCA </w:t>
      </w:r>
      <w:r>
        <w:rPr>
          <w:rFonts w:hint="eastAsia"/>
        </w:rPr>
        <w:t xml:space="preserve">Research首席中国策略师Jing</w:t>
      </w:r>
      <w:r>
        <w:t xml:space="preserve"> </w:t>
      </w:r>
      <w:r>
        <w:rPr>
          <w:rFonts w:hint="eastAsia"/>
        </w:rPr>
        <w:t xml:space="preserve">Sima将央行当前姿态形容为“观望”。大华银行（UOB）经济学家Ho</w:t>
      </w:r>
      <w:r>
        <w:t xml:space="preserve"> Woei </w:t>
      </w:r>
      <w:r>
        <w:rPr>
          <w:rFonts w:hint="eastAsia"/>
        </w:rPr>
        <w:t xml:space="preserve">Chen指出，此次暂停为后续宽松保留了空间。</w:t>
      </w:r>
    </w:p>
    <w:p>
      <w:pPr>
        <w:pStyle w:val="BodyText"/>
      </w:pPr>
      <w:r>
        <w:rPr>
          <w:b/>
          <w:bCs/>
        </w:rPr>
        <w:t xml:space="preserve">References</w:t>
      </w:r>
    </w:p>
    <w:p>
      <w:pPr>
        <w:pStyle w:val="BodyText"/>
      </w:pPr>
      <w:r>
        <w:t xml:space="preserve">[1] Reuters. (2026, June 22). China keeps lending benchmark LPRs unchanged for 13th month in June. Investing.com. https://www.investing.com/news/economy-news/china-keeps-lending-benchmark-lprs-unchanged-for-13th–month-in-june-4751706</w:t>
      </w:r>
      <w:r>
        <w:t xml:space="preserve"> </w:t>
      </w:r>
      <w:r>
        <w:t xml:space="preserve">[2] Bloomberg. (2026, June 22). China Keeps Lending Rates Unchanged as PBOC Holds Fire. Bloomberg. https://www.bloomberg.com/news/articles/2026-06-22/china-keeps-lending-rates-unchanged-as-pboc-holds-fire</w:t>
      </w:r>
    </w:p>
    <w:p>
      <w:r>
        <w:pict>
          <v:rect style="width:0;height:1.5pt" o:hralign="center" o:hrstd="t" o:hr="t"/>
        </w:pict>
      </w:r>
    </w:p>
    <w:bookmarkEnd w:id="9"/>
    <w:bookmarkStart w:id="10" w:name="港股中资股逼近熊市恒生中国企业指数单日跌2.3"/>
    <w:p>
      <w:pPr>
        <w:pStyle w:val="Heading3"/>
      </w:pPr>
      <w:r>
        <w:rPr>
          <w:rFonts w:hint="eastAsia"/>
        </w:rPr>
        <w:t xml:space="preserve">港股中资股逼近熊市，恒生中国企业指数单日跌2.3%</w:t>
      </w:r>
    </w:p>
    <w:p>
      <w:pPr>
        <w:pStyle w:val="FirstParagraph"/>
      </w:pPr>
      <w:r>
        <w:rPr>
          <w:rFonts w:hint="eastAsia"/>
        </w:rPr>
        <w:t xml:space="preserve">恒生中国企业指数（HSCEI）6月22日一度下跌2.3%，逼近自2025年10月2日峰值回落20%的熊市门槛。这是6月19日公假后的首个交易日，跌势由疲弱的消费数据点燃——中国5月零售销售自疫情以来首次出现收缩。</w:t>
      </w:r>
    </w:p>
    <w:p>
      <w:pPr>
        <w:pStyle w:val="BodyText"/>
      </w:pPr>
      <w:r>
        <w:rPr>
          <w:rFonts w:hint="eastAsia"/>
        </w:rPr>
        <w:t xml:space="preserve">该指数较去年10月高点已累计下挫近20%，在彭博追踪的90多个指数中今年表现倒数第二。互联网与消费类股首当其冲，阿里巴巴、小米、腾讯领跌。</w:t>
      </w:r>
    </w:p>
    <w:p>
      <w:pPr>
        <w:pStyle w:val="BodyText"/>
      </w:pPr>
      <w:r>
        <w:rPr>
          <w:rFonts w:hint="eastAsia"/>
        </w:rPr>
        <w:t xml:space="preserve">资金正从消费和互联网股撤出，转向人工智能题材股——这是市场对经济放缓时增长来源所做的押注。若要重回去年10月的峰值，该指数需要反弹25%。</w:t>
      </w:r>
    </w:p>
    <w:p>
      <w:pPr>
        <w:pStyle w:val="BodyText"/>
      </w:pPr>
      <w:r>
        <w:rPr>
          <w:b/>
          <w:bCs/>
        </w:rPr>
        <w:t xml:space="preserve">References</w:t>
      </w:r>
    </w:p>
    <w:p>
      <w:pPr>
        <w:pStyle w:val="BodyText"/>
      </w:pPr>
      <w:r>
        <w:t xml:space="preserve">[3] Bloomberg. (2026, June 22). Chinese Stocks in Hong Kong Near Bear Market After Holiday. Bloomberg. https://www.bloomberg.com/news/articles/2026-06-22/chinese-stocks-in-hong-kong-near-bear-market-after-holiday</w:t>
      </w:r>
      <w:r>
        <w:t xml:space="preserve"> </w:t>
      </w:r>
      <w:r>
        <w:t xml:space="preserve">[4] Crypto Briefing. (2026, June 22). Hang Seng China Enterprises Index nears bear market as weak consumption data spooks investors. Crypto Briefing. https://cryptobriefing.com/hang-seng-china-enterprises-near-bear-market/</w:t>
      </w:r>
      <w:r>
        <w:t xml:space="preserve"> </w:t>
      </w:r>
      <w:r>
        <w:t xml:space="preserve">[5] Reuters. (2026, June 22). China Stock Gauge Nears Bear Market on Weak Growth, Tech Slide. Yahoo Finance. https://finance.yahoo.com/markets/world-indices/articles/china-stock-gauge-heads-bear-072221179.html</w:t>
      </w:r>
    </w:p>
    <w:p>
      <w:r>
        <w:pict>
          <v:rect style="width:0;height:1.5pt" o:hralign="center" o:hrstd="t" o:hr="t"/>
        </w:pict>
      </w:r>
    </w:p>
    <w:bookmarkEnd w:id="10"/>
    <w:bookmarkStart w:id="11" w:name="丁薛祥在链博会开幕式警告全球供应链碎片化风险"/>
    <w:p>
      <w:pPr>
        <w:pStyle w:val="Heading3"/>
      </w:pPr>
      <w:r>
        <w:rPr>
          <w:rFonts w:hint="eastAsia"/>
        </w:rPr>
        <w:t xml:space="preserve">丁薛祥在链博会开幕式警告全球供应链碎片化风险</w:t>
      </w:r>
    </w:p>
    <w:p>
      <w:pPr>
        <w:pStyle w:val="FirstParagraph"/>
      </w:pPr>
      <w:r>
        <w:rPr>
          <w:rFonts w:hint="eastAsia"/>
        </w:rPr>
        <w:t xml:space="preserve">国务院副总理丁薛祥6月22日在北京为第四届中国国际供应链促进博览会（链博会，CISCE）揭幕，警告全球供应链正面临碎片化威胁。展会持续至6月26日。丁薛祥称：“单边主义和保护主义抬头，全球供应链碎片化风险加剧。”</w:t>
      </w:r>
    </w:p>
    <w:p>
      <w:pPr>
        <w:pStyle w:val="BodyText"/>
      </w:pPr>
      <w:r>
        <w:rPr>
          <w:rFonts w:hint="eastAsia"/>
        </w:rPr>
        <w:t xml:space="preserve">讲话以2026年霍尔木兹海峡危机为背景——这场危机推高了能源运输的不确定性，给全球供应链稳定蒙上阴影。丁薛祥借此凸显中国在动荡中的可靠性，称“中国制造在关键时刻从不掉链子、不失灵”，并将中国定位为全球供应链的“参与者、建设者和维护者”。</w:t>
      </w:r>
    </w:p>
    <w:p>
      <w:pPr>
        <w:pStyle w:val="BodyText"/>
      </w:pPr>
      <w:r>
        <w:rPr>
          <w:b/>
          <w:bCs/>
        </w:rPr>
        <w:t xml:space="preserve">References</w:t>
      </w:r>
    </w:p>
    <w:p>
      <w:pPr>
        <w:pStyle w:val="BodyText"/>
      </w:pPr>
      <w:r>
        <w:t xml:space="preserve">[6] Bloomberg. (2026, June 22). China Warns of Fragmented Supply Chains as Trade Tensions Grow. Bloomberg. https://www.bloomberg.com/news/articles/2026-06-22/china-warns-of-fragmented-supply-chains-as-trade-tensions-grow</w:t>
      </w:r>
    </w:p>
    <w:p>
      <w:r>
        <w:pict>
          <v:rect style="width:0;height:1.5pt" o:hralign="center" o:hrstd="t" o:hr="t"/>
        </w:pict>
      </w:r>
    </w:p>
    <w:bookmarkEnd w:id="11"/>
    <w:bookmarkEnd w:id="12"/>
    <w:bookmarkStart w:id="13"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Start w:id="15" w:name="三科技与产业"/>
    <w:p>
      <w:pPr>
        <w:pStyle w:val="Heading2"/>
      </w:pPr>
      <w:r>
        <w:rPr>
          <w:rFonts w:hint="eastAsia"/>
        </w:rPr>
        <w:t xml:space="preserve">三、科技与产业</w:t>
      </w:r>
    </w:p>
    <w:bookmarkStart w:id="14" w:name="腾讯在微信内灰度测试ai助手小微瞄准三季度公开上线"/>
    <w:p>
      <w:pPr>
        <w:pStyle w:val="Heading3"/>
      </w:pPr>
      <w:r>
        <w:rPr>
          <w:rFonts w:hint="eastAsia"/>
        </w:rPr>
        <w:t xml:space="preserve">腾讯在微信内灰度测试AI助手“小微”，瞄准三季度公开上线</w:t>
      </w:r>
    </w:p>
    <w:p>
      <w:pPr>
        <w:pStyle w:val="FirstParagraph"/>
      </w:pPr>
      <w:r>
        <w:rPr>
          <w:rFonts w:hint="eastAsia"/>
        </w:rPr>
        <w:t xml:space="preserve">腾讯正在月活超14亿的微信内灰度测试一款名为“小微”的AI助手，相关消息及早期用户截图于6月22日见诸报道。小微支持文字与语音交互，可执行搜索、撰写消息、并通过小程序预订服务，相当于架设在微信生态之上的一层指令入口——用户无需逐层翻菜单即可调用功能。</w:t>
      </w:r>
    </w:p>
    <w:p>
      <w:pPr>
        <w:pStyle w:val="BodyText"/>
      </w:pPr>
      <w:r>
        <w:rPr>
          <w:rFonts w:hint="eastAsia"/>
        </w:rPr>
        <w:t xml:space="preserve">系统主要依托腾讯自研的大语言模型WeLM，部分查询则调用DeepSeek的开放权重模型处理。腾讯目标在2026年三季度向公众推出。</w:t>
      </w:r>
    </w:p>
    <w:p>
      <w:pPr>
        <w:pStyle w:val="BodyText"/>
      </w:pPr>
      <w:r>
        <w:rPr>
          <w:rFonts w:hint="eastAsia"/>
        </w:rPr>
        <w:t xml:space="preserve">此举意在追赶。在AI用户规模和前沿大模型开发上，腾讯落后于字节跳动和阿里巴巴。小微将直接对标字节跳动的豆包（Doubao）和阿里巴巴基于通义千问（Qwen）的工具。</w:t>
      </w:r>
    </w:p>
    <w:p>
      <w:pPr>
        <w:pStyle w:val="BodyText"/>
      </w:pPr>
      <w:r>
        <w:rPr>
          <w:b/>
          <w:bCs/>
        </w:rPr>
        <w:t xml:space="preserve">References</w:t>
      </w:r>
    </w:p>
    <w:p>
      <w:pPr>
        <w:pStyle w:val="BodyText"/>
      </w:pPr>
      <w:r>
        <w:t xml:space="preserve">[7] Pieterse, B. (2026, June 22). WeChat begins testing Xiaowei as Tencent eyes a Q3 AI rollout. The Next Web. https://thenextweb.com/news/tencent-tests-wechat-ai-assistant-xiaowei</w:t>
      </w:r>
      <w:r>
        <w:t xml:space="preserve"> </w:t>
      </w:r>
      <w:r>
        <w:t xml:space="preserve">[8] Investing.com. (2026, June 22). Tencent tests AI assistant Xiaowei in WeChat. Investing.com. https://www.investing.com/news/technology-news/tencent-tests-ai-assistant-xiaowei-in-wechat-4751520</w:t>
      </w:r>
      <w:r>
        <w:t xml:space="preserve"> </w:t>
      </w:r>
      <w:r>
        <w:t xml:space="preserve">[9] CNBC. (2026, June 22). Tencent tests AI assistant in WeChat in China to catch up with rivals. CNBC. https://www.cnbc.com/2026/06/22/tencent-tests-wechat-ai-assistant-xiaowei.html</w:t>
      </w:r>
      <w:r>
        <w:t xml:space="preserve"> </w:t>
      </w:r>
      <w:r>
        <w:t xml:space="preserve">[10] Bloomberg. (2026, June 22). Tencent Tests AI Assistant for Its Super App WeChat in China. Bloomberg. https://www.bloomberg.com/news/articles/2026-06-22/tencent-tests-ai-assistant-in-wechat</w:t>
      </w:r>
    </w:p>
    <w:p>
      <w:r>
        <w:pict>
          <v:rect style="width:0;height:1.5pt" o:hralign="center" o:hrstd="t" o:hr="t"/>
        </w:pict>
      </w:r>
    </w:p>
    <w:bookmarkEnd w:id="14"/>
    <w:bookmarkEnd w:id="15"/>
    <w:bookmarkStart w:id="16"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9" w:name="五海外涉华财经"/>
    <w:p>
      <w:pPr>
        <w:pStyle w:val="Heading2"/>
      </w:pPr>
      <w:r>
        <w:rPr>
          <w:rFonts w:hint="eastAsia"/>
        </w:rPr>
        <w:t xml:space="preserve">五、海外涉华财经</w:t>
      </w:r>
    </w:p>
    <w:bookmarkStart w:id="17" w:name="中国对10家美国企业实施出口管制禁止46家参与政府采购"/>
    <w:p>
      <w:pPr>
        <w:pStyle w:val="Heading3"/>
      </w:pPr>
      <w:r>
        <w:rPr>
          <w:rFonts w:hint="eastAsia"/>
        </w:rPr>
        <w:t xml:space="preserve">中国对10家美国企业实施出口管制，禁止46家参与政府采购</w:t>
      </w:r>
    </w:p>
    <w:p>
      <w:pPr>
        <w:pStyle w:val="FirstParagraph"/>
      </w:pPr>
      <w:r>
        <w:rPr>
          <w:rFonts w:hint="eastAsia"/>
        </w:rPr>
        <w:t xml:space="preserve">中国商务部6月22日将10家美国企业列入出口管制清单，理由涉及军事关联及双用途物项的域外适用。名单包括AVEOX、Red</w:t>
      </w:r>
      <w:r>
        <w:t xml:space="preserve"> Cat Holdings、Teal Drones、IMSAR、Jaia Robotics、Ball Aerospace &amp; Technologies、Oshkosh Defense、L3Harris Maritime </w:t>
      </w:r>
      <w:r>
        <w:rPr>
          <w:rFonts w:hint="eastAsia"/>
        </w:rPr>
        <w:t xml:space="preserve">Services，以及两家稀土企业——MP</w:t>
      </w:r>
      <w:r>
        <w:t xml:space="preserve"> </w:t>
      </w:r>
      <w:r>
        <w:rPr>
          <w:rFonts w:hint="eastAsia"/>
        </w:rPr>
        <w:t xml:space="preserve">Materials（运营芒廷帕斯稀土矿，美国唯一在产稀土矿）和USA</w:t>
      </w:r>
      <w:r>
        <w:t xml:space="preserve"> Rare </w:t>
      </w:r>
      <w:r>
        <w:rPr>
          <w:rFonts w:hint="eastAsia"/>
        </w:rPr>
        <w:t xml:space="preserve">Earth（从采矿到磁体的全链条运营）。同日，中国财政部禁止46家美国企业参与政府采购，涵盖洛克希德·马丁、雷神导弹与防务、波音防务及通用动力旗下单位；在华有美资投资的企业不在此列。</w:t>
      </w:r>
    </w:p>
    <w:p>
      <w:pPr>
        <w:pStyle w:val="BodyText"/>
      </w:pPr>
      <w:r>
        <w:rPr>
          <w:rFonts w:hint="eastAsia"/>
        </w:rPr>
        <w:t xml:space="preserve">北京将此举定性为对美方的回应：五角大楼本月将阿里巴巴、百度、比亚迪、蔚来等中国科技企业新增至所谓“1260H”涉军实体清单。中国官方称美方做法“恶劣”，百度则称对自身的认定“完全没有根据”。</w:t>
      </w:r>
    </w:p>
    <w:p>
      <w:pPr>
        <w:pStyle w:val="BodyText"/>
      </w:pPr>
      <w:r>
        <w:rPr>
          <w:rFonts w:hint="eastAsia"/>
        </w:rPr>
        <w:t xml:space="preserve">时间点耐人寻味——措施出台约一个月前，美国总统特朗普刚访问北京与习近平会谈。两家稀土企业入选最受关注，因为稀土正是中美博弈的核心筹码；但分析人士认为实际冲击有限。亚洲集团（Asia</w:t>
      </w:r>
      <w:r>
        <w:t xml:space="preserve"> </w:t>
      </w:r>
      <w:r>
        <w:rPr>
          <w:rFonts w:hint="eastAsia"/>
        </w:rPr>
        <w:t xml:space="preserve">Group）分析师George</w:t>
      </w:r>
      <w:r>
        <w:t xml:space="preserve"> </w:t>
      </w:r>
      <w:r>
        <w:rPr>
          <w:rFonts w:hint="eastAsia"/>
        </w:rPr>
        <w:t xml:space="preserve">Chen称此举“基本属于象征性”，因为被点名企业多为美国国防工业参与者，本就不在中国开展业务。</w:t>
      </w:r>
    </w:p>
    <w:p>
      <w:pPr>
        <w:pStyle w:val="BodyText"/>
      </w:pPr>
      <w:r>
        <w:rPr>
          <w:b/>
          <w:bCs/>
        </w:rPr>
        <w:t xml:space="preserve">References</w:t>
      </w:r>
    </w:p>
    <w:p>
      <w:pPr>
        <w:pStyle w:val="BodyText"/>
      </w:pPr>
      <w:r>
        <w:t xml:space="preserve">[11] Ormiston, S. (2026, June 22). China announces sanctions on 10 US companies as trade tensions flare. Euronews. https://www.euronews.com/2026/06/22/china-announces-sanctions-on-10-us-companies-as-trade-tensions-flare</w:t>
      </w:r>
      <w:r>
        <w:t xml:space="preserve"> </w:t>
      </w:r>
      <w:r>
        <w:t xml:space="preserve">[12] Reuters. (2026, June 22). China targets US rare earth and other firms with export controls. Investing.com. https://www.investing.com/news/economy-news/china-targets-us-rare-earth-and-other-firms-with-export-controls-4751711</w:t>
      </w:r>
      <w:r>
        <w:t xml:space="preserve"> </w:t>
      </w:r>
      <w:r>
        <w:t xml:space="preserve">[13] Nikkei Asia. (2026, June 22). China hits dozens of US companies with export controls, procurement bans. Nikkei Asia. https://asia.nikkei.com/economy/trade-war/china-hits-dozens-of-us-companies-with-export-controls-procurement-bans</w:t>
      </w:r>
      <w:r>
        <w:t xml:space="preserve"> </w:t>
      </w:r>
      <w:r>
        <w:t xml:space="preserve">[14] Bloomberg. (2026, June 22). China Places Two US Rare Earths Producers on Export Control List. Bloomberg. https://www.bloomberg.com/news/articles/2026-06-22/china-places-two-us-rare-earths-producers-on-export-control-list</w:t>
      </w:r>
      <w:r>
        <w:t xml:space="preserve"> </w:t>
      </w:r>
      <w:r>
        <w:t xml:space="preserve">[15] CNBC. (2026, June 22). China imposes trade curbs on dozens of U.S. firms in retaliation for Pentagon blacklist. CNBC. https://www.cnbc.com/2026/06/22/china-trade-curbs-us-companies-export-controls-procurement-exclusion-pentagon-list-.html</w:t>
      </w:r>
      <w:r>
        <w:t xml:space="preserve"> </w:t>
      </w:r>
      <w:r>
        <w:t xml:space="preserve">[16] Hong Kong Free Press. (2026, June 22). China imposes export controls on 10 US companies: govt. Hong Kong Free Press. https://hongkongfp.com/2026/06/22/china-imposes-export-controls-on-10-us-companies-govt/</w:t>
      </w:r>
      <w:r>
        <w:t xml:space="preserve"> </w:t>
      </w:r>
      <w:r>
        <w:t xml:space="preserve">[17] Newsweek. (2026, June 22). China retaliates against US defense company sanctions. Newsweek. https://www.newsweek.com/china-retaliates-against-us-defense-company-sanctions-12101846</w:t>
      </w:r>
      <w:r>
        <w:t xml:space="preserve"> </w:t>
      </w:r>
      <w:r>
        <w:t xml:space="preserve">[18] New Kerala. (2026, June 22). China bans dual-use exports to MP Materials, USA Rare Earth. New Kerala. https://www.newkerala.com/news/a/china-bans-dual-use-exports-mp-materials-usa-rare-813.htm</w:t>
      </w:r>
    </w:p>
    <w:p>
      <w:r>
        <w:pict>
          <v:rect style="width:0;height:1.5pt" o:hralign="center" o:hrstd="t" o:hr="t"/>
        </w:pict>
      </w:r>
    </w:p>
    <w:bookmarkEnd w:id="17"/>
    <w:bookmarkStart w:id="18" w:name="涉芬太尼前体网络疑借日本据点实施大规模加密货币诈骗"/>
    <w:p>
      <w:pPr>
        <w:pStyle w:val="Heading3"/>
      </w:pPr>
      <w:r>
        <w:rPr>
          <w:rFonts w:hint="eastAsia"/>
        </w:rPr>
        <w:t xml:space="preserve">涉芬太尼前体网络疑借日本据点实施大规模加密货币诈骗</w:t>
      </w:r>
    </w:p>
    <w:p>
      <w:pPr>
        <w:pStyle w:val="FirstParagraph"/>
      </w:pPr>
      <w:r>
        <w:rPr>
          <w:rFonts w:hint="eastAsia"/>
        </w:rPr>
        <w:t xml:space="preserve">日经亚洲（Nikkei</w:t>
      </w:r>
      <w:r>
        <w:t xml:space="preserve"> </w:t>
      </w:r>
      <w:r>
        <w:rPr>
          <w:rFonts w:hint="eastAsia"/>
        </w:rPr>
        <w:t xml:space="preserve">Asia）6月22日凌晨2点（日本时间）发布的一项独立调查显示，一个涉嫌非法出口合成阿片类药物芬太尼化学前体的中国组织，疑似借助日本据点实施大规模加密货币诈骗。调查发现，该网络与多家受美国制裁实体存在资金往来，证据指向洗钱活动。</w:t>
      </w:r>
    </w:p>
    <w:p>
      <w:pPr>
        <w:pStyle w:val="BodyText"/>
      </w:pPr>
      <w:r>
        <w:rPr>
          <w:rFonts w:hint="eastAsia"/>
        </w:rPr>
        <w:t xml:space="preserve">调查追踪到该网络与受美方制裁实体之间120余笔加密货币交易，资金经多个账户流转以掩盖来源。诈骗手法之一是散布名为“zksync.jp”的虚假代币，诱骗全球加密用户，损失规模逾100万美元。其中一名核心人物——一家武汉化工企业的两名高管已于2025年2月在曼哈顿联邦法院因合谋向美国进口芬太尼前体而被定罪。</w:t>
      </w:r>
    </w:p>
    <w:p>
      <w:pPr>
        <w:pStyle w:val="BodyText"/>
      </w:pPr>
      <w:r>
        <w:rPr>
          <w:rFonts w:hint="eastAsia"/>
        </w:rPr>
        <w:t xml:space="preserve">这是日经“芬太尼的隐秘通道”（Fentanyl’s</w:t>
      </w:r>
      <w:r>
        <w:t xml:space="preserve"> Hidden </w:t>
      </w:r>
      <w:r>
        <w:rPr>
          <w:rFonts w:hint="eastAsia"/>
        </w:rPr>
        <w:t xml:space="preserve">Routes）系列调查的一部分，该系列追踪芬太尼前体经中国、墨西哥、美国、日本的跨国流转链条。</w:t>
      </w:r>
    </w:p>
    <w:p>
      <w:pPr>
        <w:pStyle w:val="BodyText"/>
      </w:pPr>
      <w:r>
        <w:rPr>
          <w:b/>
          <w:bCs/>
        </w:rPr>
        <w:t xml:space="preserve">References</w:t>
      </w:r>
    </w:p>
    <w:p>
      <w:pPr>
        <w:pStyle w:val="BodyText"/>
      </w:pPr>
      <w:r>
        <w:t xml:space="preserve">[19] Nikkei Asia. (2026, June 22). Chinese fentanyl network suspected of crypto fraud via Japan base. Nikkei Asia. https://asia.nikkei.com/economy/trade-war/fentanyl-s-hidden-routes/chinese-fentanyl-network-suspected-of-crypto-fraud-via-japan-base</w:t>
      </w:r>
      <w:r>
        <w:t xml:space="preserve"> </w:t>
      </w:r>
      <w:r>
        <w:t xml:space="preserve">[20] The Block. (2026, June 22). Fentanyl-linked Chinese network tied to crypto fraud from Japan involving fake</w:t>
      </w:r>
      <w:r>
        <w:t xml:space="preserve"> </w:t>
      </w:r>
      <w:r>
        <w:t xml:space="preserve">‘Zksync.jp’</w:t>
      </w:r>
      <w:r>
        <w:t xml:space="preserve"> </w:t>
      </w:r>
      <w:r>
        <w:t xml:space="preserve">token: Nikkei. The Block. https://www.theblock.co/post/405468/fentanyl-linked-chinese-network-tied-to-crypto-fraud-from-japan-involving-fake-zksync-jp-token-nikkei</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六企业ipo与并购"/>
    <w:p>
      <w:pPr>
        <w:pStyle w:val="Heading2"/>
      </w:pPr>
      <w:r>
        <w:rPr>
          <w:rFonts w:hint="eastAsia"/>
        </w:rPr>
        <w:t xml:space="preserve">六、企业IPO与并购</w:t>
      </w:r>
    </w:p>
    <w:bookmarkStart w:id="20" w:name="华青科技登陆港交所主板首日开盘暴涨逾300"/>
    <w:p>
      <w:pPr>
        <w:pStyle w:val="Heading3"/>
      </w:pPr>
      <w:r>
        <w:rPr>
          <w:rFonts w:hint="eastAsia"/>
        </w:rPr>
        <w:t xml:space="preserve">华青科技登陆港交所主板，首日开盘暴涨逾300%</w:t>
      </w:r>
    </w:p>
    <w:p>
      <w:pPr>
        <w:pStyle w:val="FirstParagraph"/>
      </w:pPr>
      <w:r>
        <w:rPr>
          <w:rFonts w:hint="eastAsia"/>
        </w:rPr>
        <w:t xml:space="preserve">华青科技有限公司（HQVT</w:t>
      </w:r>
      <w:r>
        <w:t xml:space="preserve"> </w:t>
      </w:r>
      <w:r>
        <w:rPr>
          <w:rFonts w:hint="eastAsia"/>
        </w:rPr>
        <w:t xml:space="preserve">Technology，1392.HK）6月22日登陆港交所主板，首日以每股29港元开盘，较7.20港元的发行价溢价303%，初始市值约250亿港元。该公司以每股7.20港元募资约6.13亿港元（约7800万美元），公开发售获约7180倍超额认购。</w:t>
      </w:r>
    </w:p>
    <w:p>
      <w:pPr>
        <w:pStyle w:val="BodyText"/>
      </w:pPr>
      <w:r>
        <w:rPr>
          <w:rFonts w:hint="eastAsia"/>
        </w:rPr>
        <w:t xml:space="preserve">华青科技成立于2013年、总部位于深圳，专注于多光谱AI成像技术，整合紫外、红外、可见光波段感知与AI算法，用于识别漏电、设备老化、异常温升等早期风险信号。公司持有101项已注册发明专利，过去三年营收复合年增长率达138.9%。</w:t>
      </w:r>
    </w:p>
    <w:p>
      <w:pPr>
        <w:pStyle w:val="BodyText"/>
      </w:pPr>
      <w:r>
        <w:rPr>
          <w:rFonts w:hint="eastAsia"/>
        </w:rPr>
        <w:t xml:space="preserve">招股说明书显示，募集资金将用于研发与产能扩张、品牌建设、营运资金及并购。</w:t>
      </w:r>
    </w:p>
    <w:p>
      <w:pPr>
        <w:pStyle w:val="BodyText"/>
      </w:pPr>
      <w:r>
        <w:rPr>
          <w:b/>
          <w:bCs/>
        </w:rPr>
        <w:t xml:space="preserve">References</w:t>
      </w:r>
    </w:p>
    <w:p>
      <w:pPr>
        <w:pStyle w:val="BodyText"/>
      </w:pPr>
      <w:r>
        <w:t xml:space="preserve">[21] Lee, M. (2026, June 22). HQVT Technology debut on HKEX surges over 300%. Dimsum Daily. https://www.dimsumdaily.hk/hqvt-technology-debut-hkex-surge/</w:t>
      </w:r>
      <w:r>
        <w:t xml:space="preserve"> </w:t>
      </w:r>
      <w:r>
        <w:t xml:space="preserve">[22] HKEX. (2026, June 22). New Listing Information — Main Board. HKEX. https://www2.hkexnews.hk/New-Listings/New-Listing-Information/Main-Board</w:t>
      </w:r>
      <w:r>
        <w:t xml:space="preserve"> </w:t>
      </w:r>
      <w:r>
        <w:t xml:space="preserve">[23] ACN Newswire. (2026, June 22). Shenzhen HQVT Technology Lists on HKEX Main Board, Accelerating Implementation of Multispectral AI Technology. ACN Newswire. https://en.acnnewswire.com/press-release/english/107892/shenzhen-hqvt-technology-lists-on-hkex-main-board,-accelerating-implementation-of-multispectral-ai-technology</w:t>
      </w:r>
    </w:p>
    <w:p>
      <w:r>
        <w:pict>
          <v:rect style="width:0;height:1.5pt" o:hralign="center" o:hrstd="t" o:hr="t"/>
        </w:pict>
      </w:r>
    </w:p>
    <w:bookmarkEnd w:id="20"/>
    <w:bookmarkStart w:id="21" w:name="香港磋商扩大内地投资额度拟向内地散户开放新股认购"/>
    <w:p>
      <w:pPr>
        <w:pStyle w:val="Heading3"/>
      </w:pPr>
      <w:r>
        <w:rPr>
          <w:rFonts w:hint="eastAsia"/>
        </w:rPr>
        <w:t xml:space="preserve">香港磋商扩大内地投资额度，拟向内地散户开放新股认购</w:t>
      </w:r>
    </w:p>
    <w:p>
      <w:pPr>
        <w:pStyle w:val="FirstParagraph"/>
      </w:pPr>
      <w:r>
        <w:rPr>
          <w:rFonts w:hint="eastAsia"/>
        </w:rPr>
        <w:t xml:space="preserve">香港财政司司长陈茂波6月22日（周一）表示，香港正与内地监管部门磋商，拟扩大跨境投资额度，并允许内地散户认购香港首次公开募股（IPO）。该方案将拓展现有的南向“沪深港通”机制——目前该机制仅允许二级市场买卖，不含新股认购。</w:t>
      </w:r>
    </w:p>
    <w:p>
      <w:pPr>
        <w:pStyle w:val="BodyText"/>
      </w:pPr>
      <w:r>
        <w:rPr>
          <w:rFonts w:hint="eastAsia"/>
        </w:rPr>
        <w:t xml:space="preserve">陈茂波称，双方正研究降低合格投资者门槛、提高南向投资额度、扩大可投资产品范围。去年通过沪深港通的南向净流入超过1.4万亿港元，创该机制启动以来的年度新高，显示内地资金对港股的强劲需求。</w:t>
      </w:r>
    </w:p>
    <w:p>
      <w:pPr>
        <w:pStyle w:val="BodyText"/>
      </w:pPr>
      <w:r>
        <w:rPr>
          <w:rFonts w:hint="eastAsia"/>
        </w:rPr>
        <w:t xml:space="preserve">此番磋商发生在监管整顿离岸资金违规通道之后：监管机构已对向内地投资者提供海外证券市场无牌接入的平台开出合计约3.3亿美元的罚款。正式政策公布有望在2026年三季度末前落地。</w:t>
      </w:r>
    </w:p>
    <w:p>
      <w:pPr>
        <w:pStyle w:val="BodyText"/>
      </w:pPr>
      <w:r>
        <w:rPr>
          <w:b/>
          <w:bCs/>
        </w:rPr>
        <w:t xml:space="preserve">References</w:t>
      </w:r>
    </w:p>
    <w:p>
      <w:pPr>
        <w:pStyle w:val="BodyText"/>
      </w:pPr>
      <w:r>
        <w:t xml:space="preserve">[24] Bloomberg. (2026, June 22). Hong Kong Seeks IPO Access for Chinese Investors, Higher Quotas. Bloomberg. https://www.bloomberg.com/news/articles/2026-06-22/hong-kong-seeks-more-investment-quotas-ipo-access-for-chinese</w:t>
      </w:r>
      <w:r>
        <w:t xml:space="preserve"> </w:t>
      </w:r>
      <w:r>
        <w:t xml:space="preserve">[25] The Standard. (2026, June 22). Hong Kong seeks to expand investment, IPO access for Chinese investors. The Standard. https://www.thestandard.com.hk/finance/article/335228/Hong-Kong-seeks-to-expand-investment-IPO-access-for-Chinese-investors</w:t>
      </w:r>
      <w:r>
        <w:t xml:space="preserve"> </w:t>
      </w:r>
      <w:r>
        <w:t xml:space="preserve">[26] Asia Business Outlook. (2026, June 22). Hong Kong Pushes IPO Access to Boost Mainland Capital Flows. Asia Business Outlook. https://www.asiabusinessoutlook.com/news/hong-kong-pushes-ipo-access-to-boost-mainland-capital-flows-nwid-12088.html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3"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2026-06-22T13:00:03Z</dcterms:created>
  <dcterms:modified xsi:type="dcterms:W3CDTF">2026-06-22T13:00:03Z</dcterms:modified>
</cp:coreProperties>
</file>

<file path=docProps/custom.xml><?xml version="1.0" encoding="utf-8"?>
<Properties xmlns="http://schemas.openxmlformats.org/officeDocument/2006/custom-properties" xmlns:vt="http://schemas.openxmlformats.org/officeDocument/2006/docPropsVTypes"/>
</file>