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65f0581ced2cb4b453ee83a8e6610ac0400dfa"/>
    <w:p>
      <w:pPr>
        <w:pStyle w:val="Heading1"/>
      </w:pPr>
      <w:r>
        <w:t xml:space="preserve">China Daily News Intelligence — June 22, 2026</w:t>
      </w:r>
    </w:p>
    <w:bookmarkStart w:id="12" w:name="economy-markets"/>
    <w:p>
      <w:pPr>
        <w:pStyle w:val="Heading2"/>
      </w:pPr>
      <w:r>
        <w:t xml:space="preserve">1. Economy &amp; Markets</w:t>
      </w:r>
    </w:p>
    <w:bookmarkStart w:id="9" w:name="X7e6c4096ef80ee8b329e755699e3e50d97e2b14"/>
    <w:p>
      <w:pPr>
        <w:pStyle w:val="Heading3"/>
      </w:pPr>
      <w:r>
        <w:t xml:space="preserve">China holds Loan Prime Rates for 13th straight month as PBOC keeps powder dry</w:t>
      </w:r>
    </w:p>
    <w:p>
      <w:pPr>
        <w:pStyle w:val="FirstParagraph"/>
      </w:pPr>
      <w:r>
        <w:t xml:space="preserve">The People’s Bank of China (PBOC) left the one-year Loan Prime Rate at 3.00% and the five-year rate at 3.50% on Monday, June 22, 2026, the 13th consecutive month without a move. All 30 market participants surveyed by Reuters had predicted no change.</w:t>
      </w:r>
    </w:p>
    <w:p>
      <w:pPr>
        <w:pStyle w:val="BodyText"/>
      </w:pPr>
      <w:r>
        <w:t xml:space="preserve">The five-year LPR anchors most mortgage pricing, so the hold leaves household borrowing costs flat into the summer. The LPR is set monthly by 18 designated commercial banks as a spread over the central bank’s policy rate, and a steady reading signals authorities are in no hurry to add stimulus even as growth diverges across sectors.</w:t>
      </w:r>
    </w:p>
    <w:p>
      <w:pPr>
        <w:pStyle w:val="BodyText"/>
      </w:pPr>
      <w:r>
        <w:t xml:space="preserve">Governor Pan Gongsheng has repeatedly said the central bank retains room to ease further, and Beijing has pledged to keep policy supportive and moderately loose. But a weaker yuan narrows that headroom: cutting rates now would widen the gap with US yields and add to currency pressure. Jing Sima, Chief China Strategist at BCA Research, read the posture as</w:t>
      </w:r>
      <w:r>
        <w:t xml:space="preserve"> </w:t>
      </w:r>
      <w:r>
        <w:t xml:space="preserve">“wait and see.”</w:t>
      </w:r>
      <w:r>
        <w:t xml:space="preserve"> </w:t>
      </w:r>
      <w:r>
        <w:t xml:space="preserve">Ho Woei Chen, Economist at UOB, framed the pause as preserving easing firepower for later in the cycle rather than spending it now.</w:t>
      </w:r>
    </w:p>
    <w:p>
      <w:pPr>
        <w:pStyle w:val="BodyText"/>
      </w:pPr>
      <w:r>
        <w:rPr>
          <w:b/>
          <w:bCs/>
        </w:rPr>
        <w:t xml:space="preserve">References</w:t>
      </w:r>
    </w:p>
    <w:p>
      <w:pPr>
        <w:pStyle w:val="BodyText"/>
      </w:pPr>
      <w:r>
        <w:t xml:space="preserve">[1] Reuters. (2026, June 22). China keeps lending benchmark LPRs unchanged for 13th month in June. Investing.com. https://www.investing.com/news/economy-news/china-keeps-lending-benchmark-lprs-unchanged-for-13th–month-in-june-4751706</w:t>
      </w:r>
      <w:r>
        <w:t xml:space="preserve"> </w:t>
      </w:r>
      <w:r>
        <w:t xml:space="preserve">[2] Bloomberg. (2026, June 22). China Keeps Lending Rates Unchanged as PBOC Holds Fire. Bloomberg. https://www.bloomberg.com/news/articles/2026-06-22/china-keeps-lending-rates-unchanged-as-pboc-holds-fire</w:t>
      </w:r>
    </w:p>
    <w:p>
      <w:r>
        <w:pict>
          <v:rect style="width:0;height:1.5pt" o:hralign="center" o:hrstd="t" o:hr="t"/>
        </w:pict>
      </w:r>
    </w:p>
    <w:bookmarkEnd w:id="9"/>
    <w:bookmarkStart w:id="10" w:name="X791f146f83d274de136379a54a990b816553a63"/>
    <w:p>
      <w:pPr>
        <w:pStyle w:val="Heading3"/>
      </w:pPr>
      <w:r>
        <w:t xml:space="preserve">Hong Kong-listed Chinese stocks slide toward bear market after holiday reopen</w:t>
      </w:r>
    </w:p>
    <w:p>
      <w:pPr>
        <w:pStyle w:val="FirstParagraph"/>
      </w:pPr>
      <w:r>
        <w:t xml:space="preserve">The Hang Seng China Enterprises Index (HSCEI) dropped 2.3% on June 22, 2026, the first session after the June 19 public holiday, leaving the gauge of mainland firms traded in Hong Kong nearly 20% below its October 2, 2025 peak — the threshold Wall Street treats as a bear market.</w:t>
      </w:r>
    </w:p>
    <w:p>
      <w:pPr>
        <w:pStyle w:val="BodyText"/>
      </w:pPr>
      <w:r>
        <w:t xml:space="preserve">The selloff followed data showing Chinese retail spending contracted in May for the first time since the pandemic, a signal that the consumption rebound policymakers have been counting on is faltering. Internet and consumer names bore the brunt: Alibaba Group, Xiaomi Corp and Tencent Holdings led the decliners as investors rotated out of consumer-facing stocks and into artificial-intelligence plays they view as the surer growth bet during a slowdown.</w:t>
      </w:r>
    </w:p>
    <w:p>
      <w:pPr>
        <w:pStyle w:val="BodyText"/>
      </w:pPr>
      <w:r>
        <w:t xml:space="preserve">The index now ranks as the second-worst performer among more than 90 tracked by Bloomberg this year. A 25% rally would be needed to reclaim the October peak.</w:t>
      </w:r>
    </w:p>
    <w:p>
      <w:pPr>
        <w:pStyle w:val="BodyText"/>
      </w:pPr>
      <w:r>
        <w:rPr>
          <w:b/>
          <w:bCs/>
        </w:rPr>
        <w:t xml:space="preserve">References</w:t>
      </w:r>
    </w:p>
    <w:p>
      <w:pPr>
        <w:pStyle w:val="BodyText"/>
      </w:pPr>
      <w:r>
        <w:t xml:space="preserve">[3] Bloomberg. (2026, June 22). Chinese Stocks in Hong Kong Near Bear Market After Holiday. Bloomberg. https://www.bloomberg.com/news/articles/2026-06-22/chinese-stocks-in-hong-kong-near-bear-market-after-holiday</w:t>
      </w:r>
      <w:r>
        <w:t xml:space="preserve"> </w:t>
      </w:r>
      <w:r>
        <w:t xml:space="preserve">[4] Crypto Briefing. (2026, June 22). Hang Seng China Enterprises Index nears bear market as weak consumption data spooks investors. Crypto Briefing. https://cryptobriefing.com/hang-seng-china-enterprises-near-bear-market/</w:t>
      </w:r>
    </w:p>
    <w:p>
      <w:r>
        <w:pict>
          <v:rect style="width:0;height:1.5pt" o:hralign="center" o:hrstd="t" o:hr="t"/>
        </w:pict>
      </w:r>
    </w:p>
    <w:bookmarkEnd w:id="10"/>
    <w:bookmarkStart w:id="11" w:name="X9769beb6393694a2330fc5173c0f71eb651c4da"/>
    <w:p>
      <w:pPr>
        <w:pStyle w:val="Heading3"/>
      </w:pPr>
      <w:r>
        <w:t xml:space="preserve">Ding Xuexiang warns of supply chain fragmentation at Beijing expo</w:t>
      </w:r>
    </w:p>
    <w:p>
      <w:pPr>
        <w:pStyle w:val="FirstParagraph"/>
      </w:pPr>
      <w:r>
        <w:t xml:space="preserve">Vice Premier Ding Xuexiang opened the 4th China International Supply Chain Expo (CISCE) in Beijing on June 22, 2026, with a warning that</w:t>
      </w:r>
      <w:r>
        <w:t xml:space="preserve"> </w:t>
      </w:r>
      <w:r>
        <w:t xml:space="preserve">“Unilateralism and protectionism are on the rise, the risk of global supply chain fragmentation is growing.”</w:t>
      </w:r>
      <w:r>
        <w:t xml:space="preserve"> </w:t>
      </w:r>
      <w:r>
        <w:t xml:space="preserve">The expo runs through June 26.</w:t>
      </w:r>
    </w:p>
    <w:p>
      <w:pPr>
        <w:pStyle w:val="BodyText"/>
      </w:pPr>
      <w:r>
        <w:t xml:space="preserve">Ding cast China as the steadying hand.</w:t>
      </w:r>
      <w:r>
        <w:t xml:space="preserve"> </w:t>
      </w:r>
      <w:r>
        <w:t xml:space="preserve">“Chinese manufacturing never falters or fails at critical moments,”</w:t>
      </w:r>
      <w:r>
        <w:t xml:space="preserve"> </w:t>
      </w:r>
      <w:r>
        <w:t xml:space="preserve">he said, positioning the country as</w:t>
      </w:r>
      <w:r>
        <w:t xml:space="preserve"> </w:t>
      </w:r>
      <w:r>
        <w:t xml:space="preserve">“a participant, a builder and a defender of the global supply chain.”</w:t>
      </w:r>
      <w:r>
        <w:t xml:space="preserve"> </w:t>
      </w:r>
      <w:r>
        <w:t xml:space="preserve">He invoked the 2026 Strait of Hormuz crisis as a test China had helped weather, and pushed back on Western characterisations of Chinese overcapacity, calling them a pretext for protectionist measures.</w:t>
      </w:r>
    </w:p>
    <w:p>
      <w:pPr>
        <w:pStyle w:val="BodyText"/>
      </w:pPr>
      <w:r>
        <w:t xml:space="preserve">The speech landed amid sharpening trade friction with Washington, the same day Beijing rolled out fresh export controls and procurement bans against US firms.</w:t>
      </w:r>
    </w:p>
    <w:p>
      <w:pPr>
        <w:pStyle w:val="BodyText"/>
      </w:pPr>
      <w:r>
        <w:rPr>
          <w:b/>
          <w:bCs/>
        </w:rPr>
        <w:t xml:space="preserve">References</w:t>
      </w:r>
    </w:p>
    <w:p>
      <w:pPr>
        <w:pStyle w:val="BodyText"/>
      </w:pPr>
      <w:r>
        <w:t xml:space="preserve">[5] Bloomberg. (2026, June 22). China Warns of Fragmented Supply Chains as Trade Tensions Grow. Bloomberg. https://www.bloomberg.com/news/articles/2026-06-22/china-warns-of-fragmented-supply-chains-as-trade-tensions-grow</w:t>
      </w:r>
    </w:p>
    <w:p>
      <w:r>
        <w:pict>
          <v:rect style="width:0;height:1.5pt" o:hralign="center" o:hrstd="t" o:hr="t"/>
        </w:pict>
      </w:r>
    </w:p>
    <w:bookmarkEnd w:id="11"/>
    <w:bookmarkEnd w:id="12"/>
    <w:bookmarkStart w:id="13" w:name="politics-diplomacy"/>
    <w:p>
      <w:pPr>
        <w:pStyle w:val="Heading2"/>
      </w:pPr>
      <w:r>
        <w:t xml:space="preserve">2. Politics &amp; Diplomacy</w:t>
      </w:r>
    </w:p>
    <w:p>
      <w:pPr>
        <w:pStyle w:val="FirstParagraph"/>
      </w:pPr>
      <w:r>
        <w:rPr>
          <w:i/>
          <w:iCs/>
        </w:rPr>
        <w:t xml:space="preserve">Note: only 0 stories met T1-T4 standards for this category today.</w:t>
      </w:r>
    </w:p>
    <w:p>
      <w:r>
        <w:pict>
          <v:rect style="width:0;height:1.5pt" o:hralign="center" o:hrstd="t" o:hr="t"/>
        </w:pict>
      </w:r>
    </w:p>
    <w:bookmarkEnd w:id="13"/>
    <w:bookmarkStart w:id="15" w:name="technology-industry"/>
    <w:p>
      <w:pPr>
        <w:pStyle w:val="Heading2"/>
      </w:pPr>
      <w:r>
        <w:t xml:space="preserve">3. Technology &amp; Industry</w:t>
      </w:r>
    </w:p>
    <w:bookmarkStart w:id="14" w:name="X3eb983783f0187d43fa597027fd31df74942671"/>
    <w:p>
      <w:pPr>
        <w:pStyle w:val="Heading3"/>
      </w:pPr>
      <w:r>
        <w:t xml:space="preserve">Tencent tests WeChat AI assistant Xiaowei ahead of Q3 rollout</w:t>
      </w:r>
    </w:p>
    <w:p>
      <w:pPr>
        <w:pStyle w:val="FirstParagraph"/>
      </w:pPr>
      <w:r>
        <w:t xml:space="preserve">Tencent is testing an AI assistant called</w:t>
      </w:r>
      <w:r>
        <w:t xml:space="preserve"> </w:t>
      </w:r>
      <w:r>
        <w:t xml:space="preserve">“Xiaowei”</w:t>
      </w:r>
      <w:r>
        <w:t xml:space="preserve"> </w:t>
      </w:r>
      <w:r>
        <w:rPr>
          <w:rFonts w:hint="eastAsia"/>
        </w:rPr>
        <w:t xml:space="preserve">(小微)</w:t>
      </w:r>
      <w:r>
        <w:t xml:space="preserve"> inside WeChat, the super-app used by more than 1.4 billion people, per reports citing company sources and early user screenshots on June 22, 2026. Users interact by text and voice to send messages, make calls, search, and navigate WeChat’s ecosystem of mini-programs to book services.</w:t>
      </w:r>
    </w:p>
    <w:p>
      <w:pPr>
        <w:pStyle w:val="BodyText"/>
      </w:pPr>
      <w:r>
        <w:t xml:space="preserve">The system runs on Tencent’s own WeLM large language model, with DeepSeek’s open-weight models brought in to handle certain requests. It is in</w:t>
      </w:r>
      <w:r>
        <w:t xml:space="preserve"> </w:t>
      </w:r>
      <w:r>
        <w:t xml:space="preserve">“grayscale”</w:t>
      </w:r>
      <w:r>
        <w:t xml:space="preserve"> </w:t>
      </w:r>
      <w:r>
        <w:t xml:space="preserve">testing — the Chinese industry term for a staged limited rollout — with a public launch targeted for the third quarter of 2026.</w:t>
      </w:r>
    </w:p>
    <w:p>
      <w:pPr>
        <w:pStyle w:val="BodyText"/>
      </w:pPr>
      <w:r>
        <w:t xml:space="preserve">Xiaowei marks a step beyond Yuanbao, the standalone chatbot Tencent launched earlier in the year: rather than a window users open to converse, Xiaowei is built to take action across the app on the user’s behalf. The push is Tencent’s bid to keep pace with ByteDance’s Doubao assistant and Alibaba’s Qwen-powered tools in a crowded domestic AI race.</w:t>
      </w:r>
    </w:p>
    <w:p>
      <w:pPr>
        <w:pStyle w:val="BodyText"/>
      </w:pPr>
      <w:r>
        <w:rPr>
          <w:b/>
          <w:bCs/>
        </w:rPr>
        <w:t xml:space="preserve">References</w:t>
      </w:r>
    </w:p>
    <w:p>
      <w:pPr>
        <w:pStyle w:val="BodyText"/>
      </w:pPr>
      <w:r>
        <w:t xml:space="preserve">[6] Brandom, R. (2026, June 22). WeChat begins testing Xiaowei as Tencent eyes a Q3 AI rollout. The Next Web. https://thenextweb.com/news/tencent-tests-wechat-ai-assistant-xiaowei</w:t>
      </w:r>
      <w:r>
        <w:t xml:space="preserve"> </w:t>
      </w:r>
      <w:r>
        <w:t xml:space="preserve">[7] Reuters. (2026, June 22). Tencent tests AI assistant Xiaowei in WeChat. Investing.com. https://www.investing.com/news/technology-news/tencent-tests-ai-assistant-xiaowei-in-wechat-4751520</w:t>
      </w:r>
      <w:r>
        <w:t xml:space="preserve"> </w:t>
      </w:r>
      <w:r>
        <w:t xml:space="preserve">[8] CNBC. (2026, June 22). Tencent tests AI assistant in WeChat in China to catch up with rivals. CNBC. https://www.cnbc.com/2026/06/22/tencent-tests-wechat-ai-assistant-xiaowei.html</w:t>
      </w:r>
      <w:r>
        <w:t xml:space="preserve"> </w:t>
      </w:r>
      <w:r>
        <w:t xml:space="preserve">[9] Bloomberg. (2026, June 22). Tencent Tests AI Assistant in WeChat. Bloomberg. https://www.bloomberg.com/news/articles/2026-06-22/tencent-tests-ai-assistant-in-wechat</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4"/>
    <w:bookmarkEnd w:id="15"/>
    <w:bookmarkStart w:id="16" w:name="society-livelihood"/>
    <w:p>
      <w:pPr>
        <w:pStyle w:val="Heading2"/>
      </w:pPr>
      <w:r>
        <w:t xml:space="preserve">4. Society &amp; Livelihood</w:t>
      </w:r>
    </w:p>
    <w:p>
      <w:pPr>
        <w:pStyle w:val="FirstParagraph"/>
      </w:pPr>
      <w:r>
        <w:rPr>
          <w:i/>
          <w:iCs/>
        </w:rPr>
        <w:t xml:space="preserve">Note: only 0 stories met T1-T4 standards for this category today.</w:t>
      </w:r>
    </w:p>
    <w:p>
      <w:r>
        <w:pict>
          <v:rect style="width:0;height:1.5pt" o:hralign="center" o:hrstd="t" o:hr="t"/>
        </w:pict>
      </w:r>
    </w:p>
    <w:bookmarkEnd w:id="16"/>
    <w:bookmarkStart w:id="19" w:name="china-nexus-finance-investment"/>
    <w:p>
      <w:pPr>
        <w:pStyle w:val="Heading2"/>
      </w:pPr>
      <w:r>
        <w:t xml:space="preserve">5. China-Nexus Finance &amp; Investment</w:t>
      </w:r>
    </w:p>
    <w:bookmarkStart w:id="17" w:name="Xb801a3401fb4e4821786f9cc7050e8143605b80"/>
    <w:p>
      <w:pPr>
        <w:pStyle w:val="Heading3"/>
      </w:pPr>
      <w:r>
        <w:t xml:space="preserve">China hits 10 US firms with export controls, bars 46 from procurement</w:t>
      </w:r>
    </w:p>
    <w:p>
      <w:pPr>
        <w:pStyle w:val="FirstParagraph"/>
      </w:pPr>
      <w:r>
        <w:t xml:space="preserve">China’s Ministry of Commerce placed 10 US companies on its export-control list on June 22, 2026, ordering dual-use exports to them to stop: AVEOX, Red Cat Holdings, Teal Drones, IMSAR, Jaia Robotics, Ball Aerospace &amp; Technologies, Oshkosh Defense, L3Harris Maritime Services, and two rare earth names — MP Materials, which runs the Mountain Pass mine, the only active rare earth mine in the US, and USA Rare Earth, a mine-to-magnet operator. Separately, the Finance Ministry banned 46 US companies from government procurement, including Lockheed Martin, Raytheon Missile &amp; Defense, Boeing Defense, and General Dynamics units.</w:t>
      </w:r>
    </w:p>
    <w:p>
      <w:pPr>
        <w:pStyle w:val="BodyText"/>
      </w:pPr>
      <w:r>
        <w:t xml:space="preserve">The targeting of MP Materials cuts close. The firm sits at the center of Washington’s push to build a domestic rare-earth supply chain; the Pentagon took a stake of roughly 15% in a 2025 public-private partnership. Hitting it widens the fight beyond magnets into drones, robotics, aerospace and military vehicles.</w:t>
      </w:r>
    </w:p>
    <w:p>
      <w:pPr>
        <w:pStyle w:val="BodyText"/>
      </w:pPr>
      <w:r>
        <w:t xml:space="preserve">Beijing framed the action as retaliation for the Pentagon adding Alibaba, Baidu, BYD and NIO to its 1260H military-linked watch list on June 8 — a designation that bars the US Defense Department from awarding direct contracts to listed firms from June 30. Beijing called the US move</w:t>
      </w:r>
      <w:r>
        <w:t xml:space="preserve"> </w:t>
      </w:r>
      <w:r>
        <w:t xml:space="preserve">“egregious.”</w:t>
      </w:r>
      <w:r>
        <w:t xml:space="preserve"> </w:t>
      </w:r>
      <w:r>
        <w:t xml:space="preserve">Baidu rejected its designation as</w:t>
      </w:r>
      <w:r>
        <w:t xml:space="preserve"> </w:t>
      </w:r>
      <w:r>
        <w:t xml:space="preserve">“totally baseless.”</w:t>
      </w:r>
      <w:r>
        <w:t xml:space="preserve"> </w:t>
      </w:r>
      <w:r>
        <w:t xml:space="preserve">The measures land roughly one month after President Trump visited Beijing for talks with Xi Jinping, underscoring how quickly the détente frayed. George Chen, analyst at the Asia Group, called the controls</w:t>
      </w:r>
      <w:r>
        <w:t xml:space="preserve"> </w:t>
      </w:r>
      <w:r>
        <w:t xml:space="preserve">“largely symbolic,”</w:t>
      </w:r>
      <w:r>
        <w:t xml:space="preserve"> </w:t>
      </w:r>
      <w:r>
        <w:t xml:space="preserve">noting most named defense firms do little direct business in China.</w:t>
      </w:r>
    </w:p>
    <w:p>
      <w:pPr>
        <w:pStyle w:val="BodyText"/>
      </w:pPr>
      <w:r>
        <w:rPr>
          <w:b/>
          <w:bCs/>
        </w:rPr>
        <w:t xml:space="preserve">References</w:t>
      </w:r>
    </w:p>
    <w:p>
      <w:pPr>
        <w:pStyle w:val="BodyText"/>
      </w:pPr>
      <w:r>
        <w:t xml:space="preserve">[10] Ormiston, S. (2026, June 22). China announces sanctions on 10 US companies as trade tensions flare. Euronews. https://www.euronews.com/2026/06/22/china-announces-sanctions-on-10-us-companies-as-trade-tensions-flare</w:t>
      </w:r>
      <w:r>
        <w:t xml:space="preserve"> </w:t>
      </w:r>
      <w:r>
        <w:t xml:space="preserve">[11] Reuters. (2026, June 22). China targets US rare earth and other firms with export controls. Investing.com. https://www.investing.com/news/economy-news/china-targets-us-rare-earth-and-other-firms-with-export-controls-4751711</w:t>
      </w:r>
      <w:r>
        <w:t xml:space="preserve"> </w:t>
      </w:r>
      <w:r>
        <w:t xml:space="preserve">[12] Nikkei Asia. (2026, June 22). China hits dozens of US companies with export controls, procurement bans. Nikkei Asia. https://asia.nikkei.com/economy/trade-war/china-hits-dozens-of-us-companies-with-export-controls-procurement-bans</w:t>
      </w:r>
      <w:r>
        <w:t xml:space="preserve"> </w:t>
      </w:r>
      <w:r>
        <w:t xml:space="preserve">[13] Bloomberg. (2026, June 22). China Places Two US Rare Earths Producers on Export Control List. Bloomberg. https://www.bloomberg.com/news/articles/2026-06-22/china-places-two-us-rare-earths-producers-on-export-control-list</w:t>
      </w:r>
      <w:r>
        <w:t xml:space="preserve"> </w:t>
      </w:r>
      <w:r>
        <w:t xml:space="preserve">[14] CNBC. (2026, June 22). China imposes trade curbs on dozens of U.S. firms in retaliation for Pentagon blacklist. CNBC. https://www.cnbc.com/2026/06/22/china-trade-curbs-us-companies-export-controls-procurement-exclusion-pentagon-list-.html</w:t>
      </w:r>
      <w:r>
        <w:t xml:space="preserve"> </w:t>
      </w:r>
      <w:r>
        <w:t xml:space="preserve">[15] Hong Kong Free Press. (2026, June 22). China imposes export controls on 10 US companies: govt. Hong Kong Free Press. https://hongkongfp.com/2026/06/22/china-imposes-export-controls-on-10-us-companies-govt/</w:t>
      </w:r>
      <w:r>
        <w:t xml:space="preserve"> </w:t>
      </w:r>
      <w:r>
        <w:t xml:space="preserve">[16] Newsweek. (2026, June 22). China retaliates against US defense company sanctions. Newsweek. https://www.newsweek.com/china-retaliates-against-us-defense-company-sanctions-12101846</w:t>
      </w:r>
      <w:r>
        <w:t xml:space="preserve"> </w:t>
      </w:r>
      <w:r>
        <w:t xml:space="preserve">[17] New Kerala. (2026, June 22). China bans dual-use exports to MP Materials, USA Rare Earth. New Kerala. https://www.newkerala.com/news/a/china-bans-dual-use-exports-mp-materials-usa-rare-813.htm</w:t>
      </w:r>
    </w:p>
    <w:p>
      <w:r>
        <w:pict>
          <v:rect style="width:0;height:1.5pt" o:hralign="center" o:hrstd="t" o:hr="t"/>
        </w:pict>
      </w:r>
    </w:p>
    <w:bookmarkEnd w:id="17"/>
    <w:bookmarkStart w:id="18" w:name="X4a7cd27cfd8474dbd1e8f7aa449d96289b6cd13"/>
    <w:p>
      <w:pPr>
        <w:pStyle w:val="Heading3"/>
      </w:pPr>
      <w:r>
        <w:t xml:space="preserve">Chinese fentanyl precursor network suspected of crypto fraud run from Japan base</w:t>
      </w:r>
    </w:p>
    <w:p>
      <w:pPr>
        <w:pStyle w:val="FirstParagraph"/>
      </w:pPr>
      <w:r>
        <w:t xml:space="preserve">A Chinese organisation suspected of illegally exporting precursor chemicals for the synthetic opioid fentanyl is also tied to a large-scale cryptocurrency fraud operation run through a base in Japan, a Nikkei Asia investigation published June 22, 2026 at 02:00 JST found.</w:t>
      </w:r>
    </w:p>
    <w:p>
      <w:pPr>
        <w:pStyle w:val="BodyText"/>
      </w:pPr>
      <w:r>
        <w:t xml:space="preserve">The case centers on Firsky KK, a company registered in Nagoya, and its links to Hubei Amarvel Biotech, a Wuhan chemical supplier whose executives were convicted in the US over fentanyl-precursor importation and money laundering. Firsky was liquidated in July 2024 with its director’s whereabouts unknown. Using wallet addresses disclosed in US court evidence, Nikkei traced more than 120 crypto transactions between the network and US-sanctioned entities — trails it said point to money laundering. One thread runs through a fraudulent token called Zksync.jp, issued in 2023, which borrowed its name from the legitimate Ethereum Layer 2 network ZKsync and reportedly caused over $1 million in losses.</w:t>
      </w:r>
    </w:p>
    <w:p>
      <w:pPr>
        <w:pStyle w:val="BodyText"/>
      </w:pPr>
      <w:r>
        <w:t xml:space="preserve">The report is part of Nikkei’s</w:t>
      </w:r>
      <w:r>
        <w:t xml:space="preserve"> </w:t>
      </w:r>
      <w:r>
        <w:t xml:space="preserve">“Fentanyl’s Hidden Routes”</w:t>
      </w:r>
      <w:r>
        <w:t xml:space="preserve"> </w:t>
      </w:r>
      <w:r>
        <w:t xml:space="preserve">investigative series, which has tracked the drug’s supply chains across China, Japan, Russia and Australia, with corroboration from open-source investigator Bellingcat.</w:t>
      </w:r>
    </w:p>
    <w:p>
      <w:pPr>
        <w:pStyle w:val="BodyText"/>
      </w:pPr>
      <w:r>
        <w:rPr>
          <w:b/>
          <w:bCs/>
        </w:rPr>
        <w:t xml:space="preserve">References</w:t>
      </w:r>
    </w:p>
    <w:p>
      <w:pPr>
        <w:pStyle w:val="BodyText"/>
      </w:pPr>
      <w:r>
        <w:t xml:space="preserve">[18] Nikkei Asia. (2026, June 22). Chinese fentanyl network suspected of crypto fraud via Japan base. Nikkei Asia. https://asia.nikkei.com/economy/trade-war/fentanyl-s-hidden-routes/chinese-fentanyl-network-suspected-of-crypto-fraud-via-japan-base</w:t>
      </w:r>
      <w:r>
        <w:t xml:space="preserve"> </w:t>
      </w:r>
      <w:r>
        <w:t xml:space="preserve">[19] The Block. (2026, June 22). Fentanyl-linked Chinese network tied to crypto fraud from Japan involving fake</w:t>
      </w:r>
      <w:r>
        <w:t xml:space="preserve"> </w:t>
      </w:r>
      <w:r>
        <w:t xml:space="preserve">‘Zksync.jp’</w:t>
      </w:r>
      <w:r>
        <w:t xml:space="preserve"> </w:t>
      </w:r>
      <w:r>
        <w:t xml:space="preserve">token: Nikkei. The Block. https://www.theblock.co/post/405468/fentanyl-linked-chinese-network-tied-to-crypto-fraud-from-japan-involving-fake-zksync-jp-token-nikkei</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8"/>
    <w:bookmarkEnd w:id="19"/>
    <w:bookmarkStart w:id="22" w:name="corporate-ipo-ma"/>
    <w:p>
      <w:pPr>
        <w:pStyle w:val="Heading2"/>
      </w:pPr>
      <w:r>
        <w:t xml:space="preserve">6. Corporate IPO &amp; M&amp;A</w:t>
      </w:r>
    </w:p>
    <w:bookmarkStart w:id="20" w:name="X123fb50ea1a0674feafe663b414378e90e62e4f"/>
    <w:p>
      <w:pPr>
        <w:pStyle w:val="Heading3"/>
      </w:pPr>
      <w:r>
        <w:t xml:space="preserve">HQVT Technology surges over 300% on Hong Kong debut</w:t>
      </w:r>
    </w:p>
    <w:p>
      <w:pPr>
        <w:pStyle w:val="FirstParagraph"/>
      </w:pPr>
      <w:r>
        <w:t xml:space="preserve">HQVT Technology Co. Ltd (1392.HK) opened at HK$29 on its HKEX Main Board debut on June 22, 2026 — a 303% premium over the HK$7.20 offer price — handing the multispectral AI imaging firm an initial market capitalisation of about HKD 25 billion. The IPO raised roughly HKD 613 million (~USD 78 million) and was oversubscribed approximately 7,180 times.</w:t>
      </w:r>
    </w:p>
    <w:p>
      <w:pPr>
        <w:pStyle w:val="BodyText"/>
      </w:pPr>
      <w:r>
        <w:t xml:space="preserve">The Shenzhen-based company, founded in 2013, holds 101 registered invention patents and ranked first in China’s multispectral AI industry by 2025 revenue, according to Frost &amp; Sullivan. Adjusted net profit rose to RMB 55.2 million in 2025 from RMB 42.9 million the prior year, with revenue compounding at 138.9% a year over three years. CMB International and SPDB International were joint sponsors. Proceeds are earmarked for R&amp;D and capacity, brand-building, working capital and acquisitions.</w:t>
      </w:r>
    </w:p>
    <w:p>
      <w:pPr>
        <w:pStyle w:val="BodyText"/>
      </w:pPr>
      <w:r>
        <w:t xml:space="preserve">The frenzied debut stands in sharp relief against the broader Hong Kong tape, where the HSCEI slid toward bear-market territory the same day — a reminder that investor appetite for AI-themed listings has decoupled from the wider China selloff.</w:t>
      </w:r>
    </w:p>
    <w:p>
      <w:pPr>
        <w:pStyle w:val="BodyText"/>
      </w:pPr>
      <w:r>
        <w:rPr>
          <w:b/>
          <w:bCs/>
        </w:rPr>
        <w:t xml:space="preserve">References</w:t>
      </w:r>
    </w:p>
    <w:p>
      <w:pPr>
        <w:pStyle w:val="BodyText"/>
      </w:pPr>
      <w:r>
        <w:t xml:space="preserve">[20] Lee, M. (2026, June 22). HQVT Technology debut: HKEX surge. Dimsum Daily. https://www.dimsumdaily.hk/hqvt-technology-debut-hkex-surge/</w:t>
      </w:r>
      <w:r>
        <w:t xml:space="preserve"> </w:t>
      </w:r>
      <w:r>
        <w:t xml:space="preserve">[21] HKEX. (2026, June 22). New Listing Information — Main Board. HKEXnews. https://www2.hkexnews.hk/New-Listings/New-Listing-Information/Main-Board</w:t>
      </w:r>
      <w:r>
        <w:t xml:space="preserve"> </w:t>
      </w:r>
      <w:r>
        <w:t xml:space="preserve">[22] Reuters. (2026, June 18). HKEX-Bound HQVT Rockets 275% in Grey Market Trading, Pioneering the New Era of Multispectral AI Perception. TradingView News. https://www.tradingview.com/news/reuters.com,2026-06-18:newsml_ACN107836:0-hkex-bound-hqvt-rockets-275-in-grey-market-trading-pioneering-the-new-era-of-multispectral-ai-perception/</w:t>
      </w:r>
    </w:p>
    <w:p>
      <w:r>
        <w:pict>
          <v:rect style="width:0;height:1.5pt" o:hralign="center" o:hrstd="t" o:hr="t"/>
        </w:pict>
      </w:r>
    </w:p>
    <w:bookmarkEnd w:id="20"/>
    <w:bookmarkStart w:id="21" w:name="X225cd62e2679510ac8640d1502650da7ef58bb1"/>
    <w:p>
      <w:pPr>
        <w:pStyle w:val="Heading3"/>
      </w:pPr>
      <w:r>
        <w:t xml:space="preserve">Hong Kong seeks to expand mainland quotas, open IPO access to Chinese retail investors</w:t>
      </w:r>
    </w:p>
    <w:p>
      <w:pPr>
        <w:pStyle w:val="FirstParagraph"/>
      </w:pPr>
      <w:r>
        <w:t xml:space="preserve">Hong Kong’s Financial Secretary Paul Chan said on Monday, June 22, 2026, that the city is in talks with mainland authorities to widen cross-border investment channels and, for the first time, let mainland retail investors subscribe to Hong Kong IPOs. The proposals would expand the existing southbound Stock Connect scheme, which currently covers only secondary trading and excludes new listings.</w:t>
      </w:r>
    </w:p>
    <w:p>
      <w:pPr>
        <w:pStyle w:val="BodyText"/>
      </w:pPr>
      <w:r>
        <w:t xml:space="preserve">Under discussion: lower entry thresholds for qualified investors, a higher aggregate southbound quota, and a broader menu of eligible products. The push aims to channel more mainland capital into Hong Kong’s equity market and follows a year in which net southbound inflows topped HK$1.4 trillion (about US$178.6 billion), the most since the programme launched. It comes alongside a regulatory crackdown on illicit offshore flows: regulators have levied penalties totalling roughly USD 330 million on platforms offering mainland investors unlicensed access to overseas securities markets.</w:t>
      </w:r>
    </w:p>
    <w:p>
      <w:pPr>
        <w:pStyle w:val="BodyText"/>
      </w:pPr>
      <w:r>
        <w:t xml:space="preserve">A formal policy announcement is possible before the end of Q3 2026.</w:t>
      </w:r>
    </w:p>
    <w:p>
      <w:pPr>
        <w:pStyle w:val="BodyText"/>
      </w:pPr>
      <w:r>
        <w:rPr>
          <w:b/>
          <w:bCs/>
        </w:rPr>
        <w:t xml:space="preserve">References</w:t>
      </w:r>
    </w:p>
    <w:p>
      <w:pPr>
        <w:pStyle w:val="BodyText"/>
      </w:pPr>
      <w:r>
        <w:t xml:space="preserve">[23] Bloomberg. (2026, June 22). Hong Kong Seeks IPO Access for Chinese Investors, Higher Quotas. Bloomberg. https://www.bloomberg.com/news/articles/2026-06-22/hong-kong-seeks-more-investment-quotas-ipo-access-for-chinese</w:t>
      </w:r>
      <w:r>
        <w:t xml:space="preserve"> </w:t>
      </w:r>
      <w:r>
        <w:t xml:space="preserve">[24] The Standard. (2026, June 22). Hong Kong seeks to expand investment, IPO access for Chinese investors. The Standard. https://www.thestandard.com.hk/finance/article/335228/Hong-Kong-seeks-to-expand-investment-IPO-access-for-Chinese-investors</w:t>
      </w:r>
      <w:r>
        <w:t xml:space="preserve"> </w:t>
      </w:r>
      <w:r>
        <w:t xml:space="preserve">[25] Asia Business Outlook. (2026, June 22). Hong Kong Pushes IPO Access to Boost Mainland Capital Flows. Asia Business Outlook. https://www.asiabusinessoutlook.com/news/hong-kong-pushes-ipo-access-to-boost-mainland-capital-flows-nwid-12088.html</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1"/>
    <w:bookmarkEnd w:id="22"/>
    <w:bookmarkStart w:id="23" w:name="other-notable-events"/>
    <w:p>
      <w:pPr>
        <w:pStyle w:val="Heading2"/>
      </w:pPr>
      <w:r>
        <w:t xml:space="preserve">7. Other Notable Events</w:t>
      </w:r>
    </w:p>
    <w:p>
      <w:pPr>
        <w:pStyle w:val="FirstParagraph"/>
      </w:pPr>
      <w:r>
        <w:rPr>
          <w:i/>
          <w:iCs/>
        </w:rPr>
        <w:t xml:space="preserve">Note: only 0 stories met T1-T4 standards for this category today.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2026-06-22T13:00:03Z</dcterms:created>
  <dcterms:modified xsi:type="dcterms:W3CDTF">2026-06-22T13:00:03Z</dcterms:modified>
</cp:coreProperties>
</file>

<file path=docProps/custom.xml><?xml version="1.0" encoding="utf-8"?>
<Properties xmlns="http://schemas.openxmlformats.org/officeDocument/2006/custom-properties" xmlns:vt="http://schemas.openxmlformats.org/officeDocument/2006/docPropsVTypes"/>
</file>