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日本每日热点新闻-2026年5月13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2026年5月13日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oecd发布2026日本经济调查建议日银渐进退出宽松加快碳定价落地"/>
    <w:p>
      <w:pPr>
        <w:pStyle w:val="Heading3"/>
      </w:pPr>
      <w:r>
        <w:rPr>
          <w:rFonts w:hint="eastAsia"/>
        </w:rPr>
        <w:t xml:space="preserve">OECD发布2026日本经济调查，建议日银渐进退出宽松、加快碳定价落地</w:t>
      </w:r>
    </w:p>
    <w:p>
      <w:pPr>
        <w:pStyle w:val="FirstParagraph"/>
      </w:pPr>
      <w:r>
        <w:rPr>
          <w:rFonts w:hint="eastAsia"/>
        </w:rPr>
        <w:t xml:space="preserve">经合组织（OECD）5月13日发布两年一度的日本经济调查，将2026—2027年日本实际GDP增速预测下调至年均0.9%，明显低于2025年的1.3%。报告判断，国内需求仍是增长主力，而外需将构成轻微拖累——拖累的根源是2025年7月日美贸易协议设定的15%基准对美关税。</w:t>
      </w:r>
    </w:p>
    <w:p>
      <w:pPr>
        <w:pStyle w:val="BodyText"/>
      </w:pPr>
      <w:r>
        <w:rPr>
          <w:rFonts w:hint="eastAsia"/>
        </w:rPr>
        <w:t xml:space="preserve">报告对货币政策的措辞比以往直接。OECD写道：“</w:t>
      </w:r>
      <w:r>
        <w:rPr>
          <w:rFonts w:hint="eastAsia"/>
        </w:rPr>
        <w:t xml:space="preserve">“鉴于通胀料持续维持在2%目标附近、工资增长稳健，渐进退出货币宽松是合适的。”</w:t>
      </w:r>
      <w:r>
        <w:rPr>
          <w:rFonts w:hint="eastAsia"/>
        </w:rPr>
        <w:t xml:space="preserve">“这一表态与2026年春斗已连续第三年实现约5%加薪的事实形成呼应。CPI同比将逐步回落至2%目标。</w:t>
      </w:r>
    </w:p>
    <w:p>
      <w:pPr>
        <w:pStyle w:val="BodyText"/>
      </w:pPr>
      <w:r>
        <w:rPr>
          <w:rFonts w:hint="eastAsia"/>
        </w:rPr>
        <w:t xml:space="preserve">结构性短板更让人警醒：日本人均收入比OECD上半段国家低约30%，劳动生产率位居OECD最末梯队。报告建议简化企业进入规则、推动灵活雇佣、扩大女性与高龄者就业、加强成人再教育，并要求政府”</w:t>
      </w:r>
      <w:r>
        <w:rPr>
          <w:rFonts w:hint="eastAsia"/>
        </w:rPr>
        <w:t xml:space="preserve">“尽快公布碳定价细节”</w:t>
      </w:r>
      <w:r>
        <w:rPr>
          <w:rFonts w:hint="eastAsia"/>
        </w:rPr>
        <w:t xml:space="preserve">“——日本是少数尚未明确碳价路径的G7成员。</w:t>
      </w:r>
    </w:p>
    <w:p>
      <w:pPr>
        <w:pStyle w:val="BodyText"/>
      </w:pPr>
      <w:r>
        <w:rPr>
          <w:rFonts w:hint="eastAsia"/>
        </w:rPr>
        <w:t xml:space="preserve">报告同时督促日本制定中期财政整顿路径，包括养老与医疗改革，以及消费税分阶段上调。OECD秘书长科尔曼（Mathias</w:t>
      </w:r>
      <w:r>
        <w:t xml:space="preserve"> </w:t>
      </w:r>
      <w:r>
        <w:rPr>
          <w:rFonts w:hint="eastAsia"/>
        </w:rPr>
        <w:t xml:space="preserve">Cormann）5月12日已在首相官邸会见首相高市早苗，为次日发布造势。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OECD. (2026, May 13). OECD Economic Surveys: Japan 2026. OECD. https://www.oecd.org/en/publications/oecd-economic-surveys-japan-2026_54cc833d-en.html</w:t>
      </w:r>
      <w:r>
        <w:t xml:space="preserve"> </w:t>
      </w:r>
      <w:r>
        <w:t xml:space="preserve">[2] Mirage News. (2026, May 13). Japan urged to boost productivity, labor. Mirage News. https://www.miragenews.com/japan-urged-to-boost-productivity-labor-for-1672406/</w:t>
      </w:r>
    </w:p>
    <w:p>
      <w:r>
        <w:pict>
          <v:rect style="width:0;height:1.5pt" o:hralign="center" o:hrstd="t" o:hr="t"/>
        </w:pict>
      </w:r>
    </w:p>
    <w:bookmarkEnd w:id="9"/>
    <w:bookmarkStart w:id="10" w:name="日本20年期国债收益率触及1997年以来新高3名日银委员主张加息至1.0"/>
    <w:p>
      <w:pPr>
        <w:pStyle w:val="Heading3"/>
      </w:pPr>
      <w:r>
        <w:rPr>
          <w:rFonts w:hint="eastAsia"/>
        </w:rPr>
        <w:t xml:space="preserve">日本20年期国债收益率触及1997年以来新高，3名日银委员主张加息至1.0%</w:t>
      </w:r>
    </w:p>
    <w:p>
      <w:pPr>
        <w:pStyle w:val="FirstParagraph"/>
      </w:pPr>
      <w:r>
        <w:rPr>
          <w:rFonts w:hint="eastAsia"/>
        </w:rPr>
        <w:t xml:space="preserve">日本20年期国债收益率5月13日再升5个基点至3.495%，一举突破1月20日3.46%的前高，刷新自1997年以来的最高纪录。10年期同步上行5个基点至2.59%，30年期升至3.86%，5年期亦创下历史新高。债市抛压来自能源——美伊战事推升油价，而日本约75%的原油来自中东，进口成本上升直接加剧通胀担忧。</w:t>
      </w:r>
    </w:p>
    <w:p>
      <w:pPr>
        <w:pStyle w:val="BodyText"/>
      </w:pPr>
      <w:r>
        <w:rPr>
          <w:rFonts w:hint="eastAsia"/>
        </w:rPr>
        <w:t xml:space="preserve">5月12日公布的日本央行4月27—28日货币政策会议《主要意见》给市场再添一把火：9名政策委员中有3人提议将政策利率由0.75%上调至1.0%。鹰派分歧扩大被市场解读为下一次会议加息可能性显著上升的信号。日银去年12月已将基准利率上调至30年高点，本轮若再加息将进一步压缩历史性宽松的空间。</w:t>
      </w:r>
    </w:p>
    <w:p>
      <w:pPr>
        <w:pStyle w:val="BodyText"/>
      </w:pPr>
      <w:r>
        <w:rPr>
          <w:rFonts w:hint="eastAsia"/>
        </w:rPr>
        <w:t xml:space="preserve">股市并未跟随债市动荡。CNBC亚洲5月13日收盘数据显示，日经225上涨0.66%，东证指数涨1.36%，反映出投资者对加息预期下的银行与保险板块仍持正面看法。5月12日的10年期国债招标投标倍数达3.9，为去年9月以来最高，显示长端需求并未失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Bloomberg News. (2026, May 13). Japan’s 20-year bond yield rises to 1997 high on inflation woes. Bloomberg. https://www.bloomberg.com/news/articles/2026-05-13/japan-s-20-year-bond-yield-rises-to-1997-high-on-inflation-woes</w:t>
      </w:r>
    </w:p>
    <w:p>
      <w:r>
        <w:pict>
          <v:rect style="width:0;height:1.5pt" o:hralign="center" o:hrstd="t" o:hr="t"/>
        </w:pict>
      </w:r>
    </w:p>
    <w:bookmarkEnd w:id="10"/>
    <w:bookmarkStart w:id="11" w:name="Xd81660e91f7be552e173bc8d84afb300c1ab68e"/>
    <w:p>
      <w:pPr>
        <w:pStyle w:val="Heading3"/>
      </w:pPr>
      <w:r>
        <w:rPr>
          <w:rFonts w:hint="eastAsia"/>
        </w:rPr>
        <w:t xml:space="preserve">日产FY2025营业利润扭亏为盈至500亿日元，Re:Nissan计划将工厂从17座削至10座</w:t>
      </w:r>
    </w:p>
    <w:p>
      <w:pPr>
        <w:pStyle w:val="FirstParagraph"/>
      </w:pPr>
      <w:r>
        <w:rPr>
          <w:rFonts w:hint="eastAsia"/>
        </w:rPr>
        <w:t xml:space="preserve">日产汽车5月13日公布截至2026年3月底的2025财年全年业绩：营业利润500亿日元，较此前预期的600亿日元亏损实现反转；净营收约12万亿日元（约753亿美元）；净亏损由此前预测的6500亿日元收窄至5500亿日元。汽车业务自由现金流在下半年转正，年末汽车业务净现金超过1万亿日元。</w:t>
      </w:r>
    </w:p>
    <w:p>
      <w:pPr>
        <w:pStyle w:val="BodyText"/>
      </w:pPr>
      <w:r>
        <w:rPr>
          <w:rFonts w:hint="eastAsia"/>
        </w:rPr>
        <w:t xml:space="preserve">业绩好转的支撑有三：一次性美国排放法规调整带来的会计利得、Re:Nissan重整计划下持续推进的成本削减，以及日元贬值的汇率顺风。Re:Nissan是日产去年5月推出的结构性瘦身方案——将全球整车工厂由17座压缩至10座，预计在2026—2027财年完成；同步削减全球员工规模；并把AI驾驶技术铺设到90%的车型阵列。本财年前9个月，公司已实现约1600亿日元的固定与变动成本削减，超额完成阶段目标。</w:t>
      </w:r>
    </w:p>
    <w:p>
      <w:pPr>
        <w:pStyle w:val="BodyText"/>
      </w:pPr>
      <w:r>
        <w:rPr>
          <w:rFonts w:hint="eastAsia"/>
        </w:rPr>
        <w:t xml:space="preserve">不过2026财年指引仍偏谨慎，公司预计重整费用将继续计入损益。日产此前已宣布全部7处工厂整合点位，被视为该方案推进”</w:t>
      </w:r>
      <w:r>
        <w:rPr>
          <w:rFonts w:hint="eastAsia"/>
        </w:rPr>
        <w:t xml:space="preserve">“不留缓冲”</w:t>
      </w:r>
      <w:r>
        <w:rPr>
          <w:rFonts w:hint="eastAsia"/>
        </w:rPr>
        <w:t xml:space="preserve">“的信号。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Nissan Motor Corporation. (2026, May 13). Financial Results FY2025. Nissan Motor Corporation. https://www.nissan-global.com/EN/IR/FINANCIAL_RESULTS/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注：本分类当日未检索到符合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3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4" w:name="武田fy2025营收下滑1.7ceo接任者金朱莉预告未来12个月三款重磅新药上市"/>
    <w:p>
      <w:pPr>
        <w:pStyle w:val="Heading3"/>
      </w:pPr>
      <w:r>
        <w:rPr>
          <w:rFonts w:hint="eastAsia"/>
        </w:rPr>
        <w:t xml:space="preserve">武田FY2025营收下滑1.7%，CEO接任者金朱莉预告未来12个月三款重磅新药上市</w:t>
      </w:r>
    </w:p>
    <w:p>
      <w:pPr>
        <w:pStyle w:val="FirstParagraph"/>
      </w:pPr>
      <w:r>
        <w:rPr>
          <w:rFonts w:hint="eastAsia"/>
        </w:rPr>
        <w:t xml:space="preserve">武田药品5月13日公布截至2026年3月底的2025财年全年业绩。按实际汇率口径，营收同比下滑1.7%——核心拖累来自治疗ADHD的旗舰药VYVANSE（lisdexamfetamine）专利保护到期后被仿制药迅速侵蚀，该化合物原研专利已于2023年8月失效。剔除汇率影响的核心营收下滑2.6%。</w:t>
      </w:r>
    </w:p>
    <w:p>
      <w:pPr>
        <w:pStyle w:val="BodyText"/>
      </w:pPr>
      <w:r>
        <w:rPr>
          <w:rFonts w:hint="eastAsia"/>
        </w:rPr>
        <w:t xml:space="preserve">利润端则呈现两条线索：核心营业利润同比微增0.8%，得益于运营费用节约；摊薄前营业利润大增19.3%，主因摊销减少。核心每股收益增长5.2%。调整后自由现金流6845亿日元符合此前预测。公司拟派发年度股息每股200日元，年末调整后净债务/EBITDA为2.6倍。</w:t>
      </w:r>
    </w:p>
    <w:p>
      <w:pPr>
        <w:pStyle w:val="BodyText"/>
      </w:pPr>
      <w:r>
        <w:rPr>
          <w:rFonts w:hint="eastAsia"/>
        </w:rPr>
        <w:t xml:space="preserve">新财年指引明显走弱：核心营收预计低个位数下滑至4.64万亿日元，核心营业利润下降5%至8%至1.16万亿日元，调整后自由现金流6500亿—7500亿日元。</w:t>
      </w:r>
    </w:p>
    <w:p>
      <w:pPr>
        <w:pStyle w:val="BodyText"/>
      </w:pPr>
      <w:r>
        <w:rPr>
          <w:rFonts w:hint="eastAsia"/>
        </w:rPr>
        <w:t xml:space="preserve">押注押在三款将于未来12个月内上市的新药：oveporexton（1型嗜睡症）、rusfertide（真性红细胞增多症）、zasocitinib（斑块型银屑病）。这也是CEO接任者金朱莉（Julie</w:t>
      </w:r>
      <w:r>
        <w:t xml:space="preserve"> </w:t>
      </w:r>
      <w:r>
        <w:rPr>
          <w:rFonts w:hint="eastAsia"/>
        </w:rPr>
        <w:t xml:space="preserve">Kim）走上前台的第一份成绩单——她将于6月24日股东大会后正式接替魏伯乐（Christophe</w:t>
      </w:r>
      <w:r>
        <w:t xml:space="preserve"> </w:t>
      </w:r>
      <w:r>
        <w:rPr>
          <w:rFonts w:hint="eastAsia"/>
        </w:rPr>
        <w:t xml:space="preserve">Weber）出任社长兼CEO，是武田史上首位美籍及首位女性CEO。金朱莉表示：“</w:t>
      </w:r>
      <w:r>
        <w:rPr>
          <w:rFonts w:hint="eastAsia"/>
        </w:rPr>
        <w:t xml:space="preserve">“2025财年是关键一年，验证了我们在艰难研发与监管节点上的执行力。”</w:t>
      </w:r>
      <w:r>
        <w:rPr>
          <w:rFonts w:hint="eastAsia"/>
        </w:rPr>
        <w:t xml:space="preserve">“她将公司新药管线称为”</w:t>
      </w:r>
      <w:r>
        <w:rPr>
          <w:rFonts w:hint="eastAsia"/>
        </w:rPr>
        <w:t xml:space="preserve">“武田史上最稳健的后期管线”</w:t>
      </w:r>
      <w:r>
        <w:t xml:space="preserve">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Takeda Pharmaceutical Company. (2026, May 13). Financial Results FY2025. Takeda Pharmaceutical Company. https://www.takeda.com/investors/financial-results/quarterly-results/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注：本分类当日未检索到符合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Start w:id="17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注：本分类当日未检索到符合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2026-05-13T08:25:01Z</dcterms:created>
  <dcterms:modified xsi:type="dcterms:W3CDTF">2026-05-13T08:25:01Z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