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2743ecd1fe47bce5c3978ced85b82f34f94c2b"/>
    <w:p>
      <w:pPr>
        <w:pStyle w:val="Heading1"/>
      </w:pPr>
      <w:r>
        <w:t xml:space="preserve">United States Daily News Intelligence — July 7, 2026</w:t>
      </w:r>
    </w:p>
    <w:bookmarkStart w:id="12" w:name="economy-markets"/>
    <w:p>
      <w:pPr>
        <w:pStyle w:val="Heading2"/>
      </w:pPr>
      <w:r>
        <w:t xml:space="preserve">1. Economy &amp; Markets</w:t>
      </w:r>
    </w:p>
    <w:bookmarkStart w:id="9" w:name="Xed3cc6088e9119c39cdd35f4a931a1981e3cbed"/>
    <w:p>
      <w:pPr>
        <w:pStyle w:val="Heading3"/>
      </w:pPr>
      <w:r>
        <w:t xml:space="preserve">SpaceX enters the Nasdaq-100 just 15 trading days after its record IPO</w:t>
      </w:r>
    </w:p>
    <w:p>
      <w:pPr>
        <w:pStyle w:val="FirstParagraph"/>
      </w:pPr>
      <w:r>
        <w:t xml:space="preserve">SpaceX joined the Nasdaq-100 effective July 7, 2026, an entry so fast it was mechanically impossible under the index’s old rules. The company only went public on June 12, raising roughly $75 billion in the largest IPO in history. Under Nasdaq’s revised methodology, effective May 1, 2026, any newly listed company ranked in the top 40 by market capitalization can enter the index after just 15 trading days — the minimum-float requirement was eliminated outright. SpaceX is the first name to use the so-called</w:t>
      </w:r>
      <w:r>
        <w:t xml:space="preserve"> </w:t>
      </w:r>
      <w:r>
        <w:t xml:space="preserve">“Fast Entry”</w:t>
      </w:r>
      <w:r>
        <w:t xml:space="preserve"> </w:t>
      </w:r>
      <w:r>
        <w:t xml:space="preserve">rule, which Nasdaq built specifically for mega-cap listings that would otherwise wait months for a scheduled rebalance.</w:t>
      </w:r>
    </w:p>
    <w:p>
      <w:pPr>
        <w:pStyle w:val="BodyText"/>
      </w:pPr>
      <w:r>
        <w:t xml:space="preserve">The Verifier correction matters here: this is a post-IPO fast-track mechanism, not a private company slipping into the index without a listing. SpaceX has publicly traded shares under the ticker SPCX since mid-June, and inclusion simply forces passive funds to hold it.</w:t>
      </w:r>
    </w:p>
    <w:p>
      <w:pPr>
        <w:pStyle w:val="BodyText"/>
      </w:pPr>
      <w:r>
        <w:t xml:space="preserve">The immediate consequence is buying. Inclusion triggers an estimated $4.3 billion in passive inflows as index-tracking ETFs such as the Invesco QQQ Trust rebalance to add the stock — JPMorgan’s estimate — with some analysts putting total mechanical demand across all index vehicles far higher. That buying is not a vote of confidence; it is forced. Funds that track the Nasdaq-100 must own SpaceX in proportion to its weight regardless of price or valuation, and with only about 4% of shares floating freely after the IPO, most of the company remains locked up by insiders. SpaceX still cannot enter the S&amp;P 500, which kept its 12-month seasoning and GAAP-profitability requirements, barring the company until at least mid-2027.</w:t>
      </w:r>
    </w:p>
    <w:p>
      <w:pPr>
        <w:pStyle w:val="BodyText"/>
      </w:pPr>
      <w:r>
        <w:rPr>
          <w:b/>
          <w:bCs/>
        </w:rPr>
        <w:t xml:space="preserve">References</w:t>
      </w:r>
    </w:p>
    <w:p>
      <w:pPr>
        <w:pStyle w:val="BodyText"/>
      </w:pPr>
      <w:r>
        <w:t xml:space="preserve">[1] The Motley Fool. (2026, July 7). SpaceX joins the Nasdaq-100 on July 7: here is what it means. The Motley Fool. https://www.fool.com/investing/2026/07/07/spacex-joins-the-nasdaq-100-on-july-7-here-is-what/</w:t>
      </w:r>
      <w:r>
        <w:t xml:space="preserve"> </w:t>
      </w:r>
      <w:r>
        <w:t xml:space="preserve">[2] CNBC. (2026, July 6). SpaceX joins the Nasdaq-100 on Tuesday: what it means for the stock. CNBC. https://www.cnbc.com/2026/07/06/spacex-joins-the-nasdaq-100-on-tuesday-what-it-means-for-the-stock.html</w:t>
      </w:r>
      <w:r>
        <w:t xml:space="preserve"> </w:t>
      </w:r>
      <w:r>
        <w:t xml:space="preserve">[3] SpotGamma. (2026, June). SpaceX IPO index inclusion: how rule changes for SPY, QQQ, and IWM force index funds to sell stocks and buy SpaceX. SpotGamma. https://spotgamma.com/spacex-ipo-index-changes-spotgamma/</w:t>
      </w:r>
    </w:p>
    <w:p>
      <w:r>
        <w:pict>
          <v:rect style="width:0;height:1.5pt" o:hralign="center" o:hrstd="t" o:hr="t"/>
        </w:pict>
      </w:r>
    </w:p>
    <w:bookmarkEnd w:id="9"/>
    <w:bookmarkStart w:id="10" w:name="X1fc6b1c1cf689aae71852006d8abe8ec5351318"/>
    <w:p>
      <w:pPr>
        <w:pStyle w:val="Heading3"/>
      </w:pPr>
      <w:r>
        <w:t xml:space="preserve">CNBC survey finds 44% of agents now call the housing market balanced, up from 30%</w:t>
      </w:r>
    </w:p>
    <w:p>
      <w:pPr>
        <w:pStyle w:val="FirstParagraph"/>
      </w:pPr>
      <w:r>
        <w:t xml:space="preserve">Forty-four percent of US real estate agents now characterize the housing market as balanced, up from 30% a year ago, according to CNBC’s Q2 2026 Housing Market Survey published the morning of July 7. The shift marks a clear cooling from the seller’s-market conditions of 2024 and 2025, when tight inventory and bidding wars defined much of the country.</w:t>
      </w:r>
    </w:p>
    <w:p>
      <w:pPr>
        <w:pStyle w:val="BodyText"/>
      </w:pPr>
      <w:r>
        <w:t xml:space="preserve">The rebalancing is driven by supply catching up with demand. There are now roughly 1.1 million homes listed for sale, nearly double the 614,000 available at this point in 2023, as more inventory returns and buyer demand softens under the weight of elevated borrowing costs. The average rate on the 30-year fixed mortgage peaked near 6.75% in mid-May and has since hovered around 6.6%, high enough to keep marginal buyers on the sidelines.</w:t>
      </w:r>
    </w:p>
    <w:p>
      <w:pPr>
        <w:pStyle w:val="BodyText"/>
      </w:pPr>
      <w:r>
        <w:t xml:space="preserve">Agents are not reading the shift as a recovery. Just 19% expect sales to improve in the near term, down sharply from 48% a year earlier, and 67% expect activity to stay roughly flat. A balanced market, in other words, reflects a stalemate as much as a normalization — sellers no longer command the terms they did, but buyers face rates that keep affordability stretched.</w:t>
      </w:r>
    </w:p>
    <w:p>
      <w:pPr>
        <w:pStyle w:val="BodyText"/>
      </w:pPr>
      <w:r>
        <w:rPr>
          <w:b/>
          <w:bCs/>
        </w:rPr>
        <w:t xml:space="preserve">References</w:t>
      </w:r>
    </w:p>
    <w:p>
      <w:pPr>
        <w:pStyle w:val="BodyText"/>
      </w:pPr>
      <w:r>
        <w:t xml:space="preserve">[4] CNBC. (2026, July 7). Far more real estate agents now report seeing a balanced market, CNBC Housing Market Survey finds. CNBC. https://www.cnbc.com/2026/07/07/cnbc-housing-market-survey-balanced-market.html</w:t>
      </w:r>
      <w:r>
        <w:t xml:space="preserve"> </w:t>
      </w:r>
      <w:r>
        <w:t xml:space="preserve">[5] Mortgage Professional America. (2026). High mortgage rates to keep US housing market subdued through 2026. Mortgage Professional America. https://www.mpamag.com/us/news/general/high-mortgage-rates-to-keep-us-housing-market-subdued-through-2026/578692</w:t>
      </w:r>
    </w:p>
    <w:p>
      <w:r>
        <w:pict>
          <v:rect style="width:0;height:1.5pt" o:hralign="center" o:hrstd="t" o:hr="t"/>
        </w:pict>
      </w:r>
    </w:p>
    <w:bookmarkEnd w:id="10"/>
    <w:bookmarkStart w:id="11" w:name="X6afd7314cf9f5f90f84e6f209d261d851238771"/>
    <w:p>
      <w:pPr>
        <w:pStyle w:val="Heading3"/>
      </w:pPr>
      <w:r>
        <w:t xml:space="preserve">US trade deficit jumps $23 billion in May as imports surge to $395 billion</w:t>
      </w:r>
    </w:p>
    <w:p>
      <w:pPr>
        <w:pStyle w:val="FirstParagraph"/>
      </w:pPr>
      <w:r>
        <w:t xml:space="preserve">The US goods-and-services trade deficit widened to $77.6 billion in May 2026, up $23.0 billion from a revised $54.6 billion in April, the Bureau of Economic Analysis and the Census Bureau reported at 8:30 a.m. EDT on July 7. The jump reversed several months of narrowing and was driven almost entirely by a rush of imports.</w:t>
      </w:r>
    </w:p>
    <w:p>
      <w:pPr>
        <w:pStyle w:val="BodyText"/>
      </w:pPr>
      <w:r>
        <w:t xml:space="preserve">May imports rose $12.5 billion to $395.3 billion. The goods deficit alone widened $23.6 billion to $106.5 billion, while the services surplus edged up $0.6 billion to $28.9 billion. The pattern is consistent with front-loading, as importers pull shipments forward to get ahead of tariff schedules, a dynamic that has whipsawed the monthly figures throughout 2026.</w:t>
      </w:r>
    </w:p>
    <w:p>
      <w:pPr>
        <w:pStyle w:val="BodyText"/>
      </w:pPr>
      <w:r>
        <w:t xml:space="preserve">The longer arc still shows contraction. On a year-to-date basis the deficit is down $203.9 billion, or 40.6%, from the same period in 2025, with exports up 11.7% and imports down 2.1%. Trade is a direct input to GDP, and a wider goods gap subtracts from net exports — the May widening will feed into second-quarter growth estimates as economists reconcile the monthly swings with the year’s broader narrowing.</w:t>
      </w:r>
    </w:p>
    <w:p>
      <w:pPr>
        <w:pStyle w:val="BodyText"/>
      </w:pPr>
      <w:r>
        <w:rPr>
          <w:b/>
          <w:bCs/>
        </w:rPr>
        <w:t xml:space="preserve">References</w:t>
      </w:r>
    </w:p>
    <w:p>
      <w:pPr>
        <w:pStyle w:val="BodyText"/>
      </w:pPr>
      <w:r>
        <w:t xml:space="preserve">[6] Bureau of Economic Analysis. (2026, July 7). U.S. International Trade in Goods and Services, May 2026. U.S. Bureau of Economic Analysis. https://www.bea.gov/news/2026/us-international-trade-goods-and-services-may-2026</w:t>
      </w:r>
      <w:r>
        <w:t xml:space="preserve"> </w:t>
      </w:r>
      <w:r>
        <w:t xml:space="preserve">[7] U.S. Census Bureau. (2026, July 7). U.S. International Trade in Goods and Services press release. U.S. Census Bureau. https://www.census.gov/foreign-trade/Press-Release/current_press_release/</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6d57b7228fa347729d9546b2b355189b0308938"/>
    <w:p>
      <w:pPr>
        <w:pStyle w:val="Heading3"/>
      </w:pPr>
      <w:r>
        <w:t xml:space="preserve">NATO summit opens in Ankara as Trump presses allies toward 5% defense spending</w:t>
      </w:r>
    </w:p>
    <w:p>
      <w:pPr>
        <w:pStyle w:val="FirstParagraph"/>
      </w:pPr>
      <w:r>
        <w:t xml:space="preserve">The 2026 NATO Summit opened in Ankara, Turkey on July 7, with President Donald Trump pressing the alliance’s members to raise defense spending to 5% of GDP faster than they have committed. Leaders from all 32 member states are attending the two-day gathering.</w:t>
      </w:r>
    </w:p>
    <w:p>
      <w:pPr>
        <w:pStyle w:val="BodyText"/>
      </w:pPr>
      <w:r>
        <w:t xml:space="preserve">The 5% figure is not new; members agreed to it at last year’s summit, structured as 3.5% on core military spending and 1.5% on broader security-related needs, with a 2035 deadline. What Trump is demanding now is acceleration — that allies hit the target as soon as possible rather than waiting a decade. It is the enforcement phase of a pledge he extracted a year ago, and Ankara is where he intends to hold members to it.</w:t>
      </w:r>
    </w:p>
    <w:p>
      <w:pPr>
        <w:pStyle w:val="BodyText"/>
      </w:pPr>
      <w:r>
        <w:t xml:space="preserve">Ukraine dominates the agenda. Trump is scheduled to meet Ukrainian President Volodymyr Zelenskyy on the sidelines, where Zelenskyy is expected to press for additional Patriot air defense systems as Russian strikes on Ukrainian cities intensify in the war’s fifth year. Trump also plans to meet Syrian leader Ahmad al-Sharaa, a rare high-level US engagement with Damascus, amid Trump’s public musings about Syria taking a larger role against Hezbollah in Lebanon. The summit’s twin threads — burden-sharing and continued support for Kyiv — will define whether the alliance emerges more unified or more strained.</w:t>
      </w:r>
    </w:p>
    <w:p>
      <w:pPr>
        <w:pStyle w:val="BodyText"/>
      </w:pPr>
      <w:r>
        <w:rPr>
          <w:b/>
          <w:bCs/>
        </w:rPr>
        <w:t xml:space="preserve">References</w:t>
      </w:r>
    </w:p>
    <w:p>
      <w:pPr>
        <w:pStyle w:val="BodyText"/>
      </w:pPr>
      <w:r>
        <w:t xml:space="preserve">[8] Al Jazeera. (2026, July 7). NATO summit begins in Turkiye’s Ankara: who is attending, what is at stake? Al Jazeera. https://www.aljazeera.com/news/2026/7/7/nato-summit-begins-who-is-attending-and-what-is-at-stake</w:t>
      </w:r>
      <w:r>
        <w:t xml:space="preserve"> </w:t>
      </w:r>
      <w:r>
        <w:t xml:space="preserve">[9] CNBC. (2026, July 7). Trump arrives in Turkey for NATO summit as Russia attacks Ukraine. CNBC. https://www.cnbc.com/2026/07/07/trump-nato-turkey-russia-ukraine-spending.html</w:t>
      </w:r>
      <w:r>
        <w:t xml:space="preserve"> </w:t>
      </w:r>
      <w:r>
        <w:t xml:space="preserve">[10] CNN. (2026, July 7). NATO summit: Trump in Ankara — live news. CNN. https://edition.cnn.com/2026/07/07/world/live-news/nato-summit-trump</w:t>
      </w:r>
    </w:p>
    <w:p>
      <w:r>
        <w:pict>
          <v:rect style="width:0;height:1.5pt" o:hralign="center" o:hrstd="t" o:hr="t"/>
        </w:pict>
      </w:r>
    </w:p>
    <w:bookmarkEnd w:id="13"/>
    <w:bookmarkStart w:id="14" w:name="Xe1a3719e03ebce115b3f1044dfdbb1772a31983"/>
    <w:p>
      <w:pPr>
        <w:pStyle w:val="Heading3"/>
      </w:pPr>
      <w:r>
        <w:t xml:space="preserve">Graham Platner faces calls to quit Maine Senate race after assault allegation</w:t>
      </w:r>
    </w:p>
    <w:p>
      <w:pPr>
        <w:pStyle w:val="FirstParagraph"/>
      </w:pPr>
      <w:r>
        <w:t xml:space="preserve">Graham Platner, the Democratic Senate candidate in Maine, faced escalating calls to withdraw on July 7 following an allegation of sexual assault. Senate Minority Leader Chuck Schumer and the chair of the Democratic Senatorial Campaign Committee called for him to step aside, and the DSCC signaled it will not invest in the race if he stays on the ballot.</w:t>
      </w:r>
    </w:p>
    <w:p>
      <w:pPr>
        <w:pStyle w:val="BodyText"/>
      </w:pPr>
      <w:r>
        <w:t xml:space="preserve">The allegation, first reported by Politico, comes from Platner’s former girlfriend, who says that in 2021 he entered her Maine home intoxicated and forced her to have sex over her objections. Platner has denied the claim. In a video posted to social media he said that</w:t>
      </w:r>
      <w:r>
        <w:t xml:space="preserve"> </w:t>
      </w:r>
      <w:r>
        <w:t xml:space="preserve">“regardless of the inaccuracy of the reporting, but mindful of the political reality it will inflict, we are taking the time to reflect on the best path forward”</w:t>
      </w:r>
      <w:r>
        <w:t xml:space="preserve"> </w:t>
      </w:r>
      <w:r>
        <w:t xml:space="preserve">— language his own party read as a candidate weighing an exit rather than digging in.</w:t>
      </w:r>
    </w:p>
    <w:p>
      <w:pPr>
        <w:pStyle w:val="BodyText"/>
      </w:pPr>
      <w:r>
        <w:t xml:space="preserve">The clock is the story. Under Maine election law, Platner must end his campaign by July 13 for state Democrats to nominate a replacement in time for the general election. The seat is one of the most competitive of the 2026 midterms, held by Republican Susan Collins, and Democrats view it as central to any path back to a Senate majority. Senators Ruben Gallego and Martin Heinrich, both early Platner endorsers, have now joined the calls for him to go, as has the Maine Democratic Party.</w:t>
      </w:r>
    </w:p>
    <w:p>
      <w:pPr>
        <w:pStyle w:val="BodyText"/>
      </w:pPr>
      <w:r>
        <w:rPr>
          <w:b/>
          <w:bCs/>
        </w:rPr>
        <w:t xml:space="preserve">References</w:t>
      </w:r>
    </w:p>
    <w:p>
      <w:pPr>
        <w:pStyle w:val="BodyText"/>
      </w:pPr>
      <w:r>
        <w:t xml:space="preserve">[11] NPR. (2026, July 7). Graham Platner faces calls to leave Maine Senate race after sexual assault allegation. NPR. https://www.npr.org/2026/07/07/nx-s1-5884020/graham-platner-faces-calls-to-leave-maine-senate-race-after-sexual-assault-allegation</w:t>
      </w:r>
      <w:r>
        <w:t xml:space="preserve"> </w:t>
      </w:r>
      <w:r>
        <w:t xml:space="preserve">[12] NBC News. (2026, July 7). Graham Platner considering</w:t>
      </w:r>
      <w:r>
        <w:t xml:space="preserve"> </w:t>
      </w:r>
      <w:r>
        <w:t xml:space="preserve">“best path forward”</w:t>
      </w:r>
      <w:r>
        <w:t xml:space="preserve"> </w:t>
      </w:r>
      <w:r>
        <w:t xml:space="preserve">in the Maine Senate race after denying sexual assault allegation. NBC News. https://www.nbcnews.com/politics/2026-election/graham-platner-best-path-forward-maine-senate-rcna353222</w:t>
      </w:r>
      <w:r>
        <w:t xml:space="preserve"> </w:t>
      </w:r>
      <w:r>
        <w:t xml:space="preserve">[13] The Hill. (2026, July 6). DSCC leaders Schumer, Gillibrand call for Graham Platner to drop out of Maine Senate race. The Hill. https://thehill.com/homenews/campaign/5955965-schumer-gillibrand-call-platner-withdraw/</w:t>
      </w:r>
    </w:p>
    <w:p>
      <w:r>
        <w:pict>
          <v:rect style="width:0;height:1.5pt" o:hralign="center" o:hrstd="t" o:hr="t"/>
        </w:pict>
      </w:r>
    </w:p>
    <w:bookmarkEnd w:id="14"/>
    <w:bookmarkStart w:id="15" w:name="X4b4f2b22c2177653f21bc577e17d882f38f9bd0"/>
    <w:p>
      <w:pPr>
        <w:pStyle w:val="Heading3"/>
      </w:pPr>
      <w:r>
        <w:t xml:space="preserve">NCAA says transgender-athlete policy stands after Supreme Court ruling</w:t>
      </w:r>
    </w:p>
    <w:p>
      <w:pPr>
        <w:pStyle w:val="FirstParagraph"/>
      </w:pPr>
      <w:r>
        <w:t xml:space="preserve">NCAA President Charlie Baker said on July 7 that the association’s transgender-athlete participation policy will not change following the US Supreme Court’s June 30, 2026 ruling that upheld state bans on transgender students competing on girls’ and women’s sports teams. It was the NCAA’s first substantive response to the decision.</w:t>
      </w:r>
    </w:p>
    <w:p>
      <w:pPr>
        <w:pStyle w:val="BodyText"/>
      </w:pPr>
      <w:r>
        <w:t xml:space="preserve">The ruling came in West Virginia v. B.P.J. and Little v. Hecox, in which the Court upheld state laws requiring athletes to compete on teams matching their sex assigned at birth. Baker’s position is that those state bans do not force the NCAA’s hand because the association already tightened its own rules. Speaking to CBS News, Baker said the NCAA</w:t>
      </w:r>
      <w:r>
        <w:t xml:space="preserve"> </w:t>
      </w:r>
      <w:r>
        <w:t xml:space="preserve">“adopted and comply with the standard that was put forth by the Trump administration,”</w:t>
      </w:r>
      <w:r>
        <w:t xml:space="preserve"> </w:t>
      </w:r>
      <w:r>
        <w:t xml:space="preserve">and that the association’s</w:t>
      </w:r>
      <w:r>
        <w:t xml:space="preserve"> </w:t>
      </w:r>
      <w:r>
        <w:t xml:space="preserve">“national standard is going to be what we expect our schools to use with respect to eligibility issues for college sports.”</w:t>
      </w:r>
    </w:p>
    <w:p>
      <w:pPr>
        <w:pStyle w:val="BodyText"/>
      </w:pPr>
      <w:r>
        <w:t xml:space="preserve">The practical scope is narrow. Baker told Congress in late 2024 that he was aware of fewer than 10 openly transgender athletes across all of college sports. The NCAA revised its policy in February 2025 to limit women’s competition to athletes assigned female at birth, aligning with an executive order — meaning the Supreme Court’s ruling changes the legal landscape for states without changing what the NCAA already requires of its member schools.</w:t>
      </w:r>
    </w:p>
    <w:p>
      <w:pPr>
        <w:pStyle w:val="BodyText"/>
      </w:pPr>
      <w:r>
        <w:rPr>
          <w:b/>
          <w:bCs/>
        </w:rPr>
        <w:t xml:space="preserve">References</w:t>
      </w:r>
    </w:p>
    <w:p>
      <w:pPr>
        <w:pStyle w:val="BodyText"/>
      </w:pPr>
      <w:r>
        <w:t xml:space="preserve">[14] PinkNews. (2026, July 7). Supreme Court trans athletes ruling: NCAA responds. PinkNews. https://www.thepinknews.com/2026/07/07/supreme-court-trans-athletes-ruling/</w:t>
      </w:r>
      <w:r>
        <w:t xml:space="preserve"> </w:t>
      </w:r>
      <w:r>
        <w:t xml:space="preserve">[15] CBS News. (2026, July 7). NCAA leader Charlie Baker says no plan to change rules on transgender athletes after Supreme Court ruling. CBS News. https://www.cbsnews.com/news/ncaa-leader-charlie-baker-transgender-athletes-supreme-court-ruling-face-the-nation/</w:t>
      </w:r>
    </w:p>
    <w:p>
      <w:r>
        <w:pict>
          <v:rect style="width:0;height:1.5pt" o:hralign="center" o:hrstd="t" o:hr="t"/>
        </w:pict>
      </w:r>
    </w:p>
    <w:bookmarkEnd w:id="15"/>
    <w:bookmarkEnd w:id="16"/>
    <w:bookmarkStart w:id="19" w:name="technology-industry"/>
    <w:p>
      <w:pPr>
        <w:pStyle w:val="Heading2"/>
      </w:pPr>
      <w:r>
        <w:t xml:space="preserve">3. Technology &amp; Industry</w:t>
      </w:r>
    </w:p>
    <w:p>
      <w:pPr>
        <w:pStyle w:val="FirstParagraph"/>
      </w:pPr>
      <w:r>
        <w:rPr>
          <w:i/>
          <w:iCs/>
        </w:rPr>
        <w:t xml:space="preserve">Note: only 2 stories met T1-T4 standards for this category today.</w:t>
      </w:r>
    </w:p>
    <w:bookmarkStart w:id="17" w:name="Xb4ad2cded26c8cc97e63ab6fef4a851b3dd8d32"/>
    <w:p>
      <w:pPr>
        <w:pStyle w:val="Heading3"/>
      </w:pPr>
      <w:r>
        <w:t xml:space="preserve">First American autonomous ground vehicles are fighting in Ukraine, Forterra reveals</w:t>
      </w:r>
    </w:p>
    <w:p>
      <w:pPr>
        <w:pStyle w:val="FirstParagraph"/>
      </w:pPr>
      <w:r>
        <w:t xml:space="preserve">Forterra, a US company, has deployed 105 Lancer autonomous ground vehicles in Ukraine since October, the firm disclosed July 7 in a report by TechCrunch’s Tim Fernholz — the first confirmed operational deployment of American autonomous ground vehicles in combat. The vehicles have run more than 1,100 missions and completed 52 casualty evacuations.</w:t>
      </w:r>
    </w:p>
    <w:p>
      <w:pPr>
        <w:pStyle w:val="BodyText"/>
      </w:pPr>
      <w:r>
        <w:t xml:space="preserve">The disclosure is notable for what it establishes: not a demonstration or a pilot but sustained battlefield use at scale. Since arriving last October the fleet has driven more than 2,500 miles and hauled roughly 777,000 pounds of cargo across the front, handling resupply, logistics, and light tactical support in addition to the casualty evacuations. Forterra built the Lancer on the Polaris Ranger 1500 platform, and delivered the full fleet in under six months. The program was developed under a US government effort in 2024 and was on contract by early 2025.</w:t>
      </w:r>
    </w:p>
    <w:p>
      <w:pPr>
        <w:pStyle w:val="BodyText"/>
      </w:pPr>
      <w:r>
        <w:t xml:space="preserve">The deployment lands against a broader shift in the war toward unmanned systems. Ukraine has said it aims to field 25,000 unmanned ground vehicles for frontline logistics, driven by a manpower shortage that makes every human casualty-evacuation run a risk to additional soldiers. Forterra’s claim is that this is the largest combat deployment of autonomous ground vehicles by any US defense-tech company — a marker for an American industry that has largely watched Ukraine’s drone-and-robot war from the sidelines.</w:t>
      </w:r>
    </w:p>
    <w:p>
      <w:pPr>
        <w:pStyle w:val="BodyText"/>
      </w:pPr>
      <w:r>
        <w:rPr>
          <w:b/>
          <w:bCs/>
        </w:rPr>
        <w:t xml:space="preserve">References</w:t>
      </w:r>
    </w:p>
    <w:p>
      <w:pPr>
        <w:pStyle w:val="BodyText"/>
      </w:pPr>
      <w:r>
        <w:t xml:space="preserve">[16] Fernholz, T. (2026, July 7). The first American autonomous ground vehicles are fighting in Ukraine. TechCrunch. https://techcrunch.com/2026/07/07/the-first-american-autonomous-ground-vehicles-are-fighting-in-ukraine/</w:t>
      </w:r>
      <w:r>
        <w:t xml:space="preserve"> </w:t>
      </w:r>
      <w:r>
        <w:t xml:space="preserve">[17] Just Security. (2026, July 7). Early edition: July 7, 2026. Just Security. https://www.justsecurity.org/145903/early-edition-july-7-2026/</w:t>
      </w:r>
      <w:r>
        <w:t xml:space="preserve"> </w:t>
      </w:r>
      <w:r>
        <w:t xml:space="preserve">[18] Forterra. (2026, July 7). Forterra reveals it rapidly manufactured and deployed autonomous systems to Ukraine at scale in the Russo-Ukrainian war. The Manila Times (GlobeNewswire). https://www.manilatimes.net/2026/07/07/tmt-newswire/globenewswire/forterra-reveals-it-rapidly-manufactured-and-deployed-autonomous-systems-to-ukraine-at-scale-in-russo-ukrainian-war/2379821</w:t>
      </w:r>
      <w:r>
        <w:t xml:space="preserve"> </w:t>
      </w:r>
      <w:r>
        <w:t xml:space="preserve">[19] Defense News. (2026, April 24). Ukraine to field 25,000 ground robots in push to replace soldiers for frontline logistics. Defense News. https://www.defensenews.com/unmanned/2026/04/24/ukraine-to-field-25000-ground-robots-in-push-to-replace-soldiers-for-frontline-logistics/</w:t>
      </w:r>
    </w:p>
    <w:p>
      <w:r>
        <w:pict>
          <v:rect style="width:0;height:1.5pt" o:hralign="center" o:hrstd="t" o:hr="t"/>
        </w:pict>
      </w:r>
    </w:p>
    <w:bookmarkEnd w:id="17"/>
    <w:bookmarkStart w:id="18" w:name="X678d1c40ee9fd61e07f04e3c57639bbb3fb2a33"/>
    <w:p>
      <w:pPr>
        <w:pStyle w:val="Heading3"/>
      </w:pPr>
      <w:r>
        <w:t xml:space="preserve">CISA uses Anthropic’s Mythos AI to hunt vulnerabilities in federal code</w:t>
      </w:r>
    </w:p>
    <w:p>
      <w:pPr>
        <w:pStyle w:val="FirstParagraph"/>
      </w:pPr>
      <w:r>
        <w:t xml:space="preserve">The US Cybersecurity and Infrastructure Security Agency is using Anthropic’s Mythos AI model to run automated security audits of federal government software, Reuters reported July 7, citing sources. Two sources told Reuters the audits have already uncovered a large number of vulnerabilities, though the scale and severity remain unclear.</w:t>
      </w:r>
    </w:p>
    <w:p>
      <w:pPr>
        <w:pStyle w:val="BodyText"/>
      </w:pPr>
      <w:r>
        <w:t xml:space="preserve">The work is being carried out by CISA’s Attack Surface Evaluation team, which is running Mythos against federal code repositories to find exploitable bugs — the kind of flaws that could open doors to foreign spies and cybercriminals. It appears to be the first confirmed use of a large language model for government-wide code vulnerability scanning at scale. Neither CISA nor Anthropic has described the work publicly; the reporting rests on anonymous sources.</w:t>
      </w:r>
    </w:p>
    <w:p>
      <w:pPr>
        <w:pStyle w:val="BodyText"/>
      </w:pPr>
      <w:r>
        <w:t xml:space="preserve">The rollout follows a turbulent stretch between Anthropic and Washington. The Pentagon had issued a formal supply-chain risk designation after the company refused to strip out safeguards that block its models from being used for autonomous weapons or domestic surveillance. The government lifted export controls at the end of June, and Anthropic began restoring its models globally on July 1, returning Mythos to a vetted set of US organizations. The National Security Agency has reportedly been using Mythos since at least April, with analysts testing it in classified environments — meaning CISA’s adoption extends an AI-for-cyberdefense effort that had already taken root inside the intelligence community. The stakes are the obvious double edge: a model that can find vulnerabilities in government code faster than human auditors can also, in the wrong hands, find them faster for an adversary.</w:t>
      </w:r>
    </w:p>
    <w:p>
      <w:pPr>
        <w:pStyle w:val="BodyText"/>
      </w:pPr>
      <w:r>
        <w:rPr>
          <w:b/>
          <w:bCs/>
        </w:rPr>
        <w:t xml:space="preserve">References</w:t>
      </w:r>
    </w:p>
    <w:p>
      <w:pPr>
        <w:pStyle w:val="BodyText"/>
      </w:pPr>
      <w:r>
        <w:t xml:space="preserve">[20] Reuters. (2026, July 7). U.S. cyber agency is using Anthropic’s Mythos to audit government code, sources say. Reuters. https://www.reuters.com/technology/2026/07/07/cisa-anthropic-mythos-government-code-audit/</w:t>
      </w:r>
      <w:r>
        <w:t xml:space="preserve"> </w:t>
      </w:r>
      <w:r>
        <w:t xml:space="preserve">[21] BusinessWorld. (2026, July 7). U.S. cyber agency is using Anthropic’s Mythos to audit government code, sources say. BusinessWorld. https://www.bworldonline.com/technology/2026/07/07/cisa-anthropic-mythos/</w:t>
      </w:r>
      <w:r>
        <w:t xml:space="preserve"> </w:t>
      </w:r>
      <w:r>
        <w:t xml:space="preserve">[22] The Next Web. (2026, July 7). U.S. cyber agency is using Anthropic’s Mythos to audit government code, sources say. The Next Web. https://thenextweb.com/news/cisa-anthropic-mythos-government-code-audit</w:t>
      </w:r>
    </w:p>
    <w:p>
      <w:r>
        <w:pict>
          <v:rect style="width:0;height:1.5pt" o:hralign="center" o:hrstd="t" o:hr="t"/>
        </w:pict>
      </w:r>
    </w:p>
    <w:bookmarkEnd w:id="18"/>
    <w:bookmarkEnd w:id="19"/>
    <w:bookmarkStart w:id="22" w:name="society-livelihood"/>
    <w:p>
      <w:pPr>
        <w:pStyle w:val="Heading2"/>
      </w:pPr>
      <w:r>
        <w:t xml:space="preserve">4. Society &amp; Livelihood</w:t>
      </w:r>
    </w:p>
    <w:p>
      <w:pPr>
        <w:pStyle w:val="FirstParagraph"/>
      </w:pPr>
      <w:r>
        <w:rPr>
          <w:i/>
          <w:iCs/>
        </w:rPr>
        <w:t xml:space="preserve">Note: only 2 stories met T1-T4 standards for this category today.</w:t>
      </w:r>
    </w:p>
    <w:bookmarkStart w:id="20" w:name="Xd9b20e95ab042f181da069df2612bd84c43fc35"/>
    <w:p>
      <w:pPr>
        <w:pStyle w:val="Heading3"/>
      </w:pPr>
      <w:r>
        <w:t xml:space="preserve">North American heat wave kills at least 40 as outages peak above 900,000</w:t>
      </w:r>
    </w:p>
    <w:p>
      <w:pPr>
        <w:pStyle w:val="FirstParagraph"/>
      </w:pPr>
      <w:r>
        <w:t xml:space="preserve">At least 40 deaths and more than 900,000 power outages at peak marked the 2026 North American heat wave as it continued through July 7, with the heat index climbing above 110°F in multiple cities. The heat dome that has gripped the eastern half of the continent for two weeks is weakening but remains dangerous.</w:t>
      </w:r>
    </w:p>
    <w:p>
      <w:pPr>
        <w:pStyle w:val="BodyText"/>
      </w:pPr>
      <w:r>
        <w:t xml:space="preserve">The event took hold in late June and peaked over the July 4 holiday weekend, tying or breaking temperature records across US and Canadian cities. Atlantic City hit 106°F on July 4; Washington, DC reached 102°F, surpassing a record set in 1872. The heat forced cancellations of Independence Day parades in Washington, Philadelphia, and elsewhere, and the CDC reported</w:t>
      </w:r>
      <w:r>
        <w:t xml:space="preserve"> </w:t>
      </w:r>
      <w:r>
        <w:t xml:space="preserve">“extremely high”</w:t>
      </w:r>
      <w:r>
        <w:t xml:space="preserve"> </w:t>
      </w:r>
      <w:r>
        <w:t xml:space="preserve">rates of heat-related emergency-room visits.</w:t>
      </w:r>
    </w:p>
    <w:p>
      <w:pPr>
        <w:pStyle w:val="BodyText"/>
      </w:pPr>
      <w:r>
        <w:t xml:space="preserve">The danger is now shifting from the heat itself to what follows it. As the dome breaks down it is fueling severe thunderstorms, and forecasters have warned of flash flooding in urban corridors from Philadelphia to New York, with some areas facing several inches of rain. Overnight temperatures that stay elevated compound the risk, denying vulnerable residents — the elderly, those without air conditioning — the relief that normally comes after dark. Utilities across a band of states from Oklahoma to Connecticut have been racing to restore power stripped by both the heat load and the storms tearing through behind it.</w:t>
      </w:r>
    </w:p>
    <w:p>
      <w:pPr>
        <w:pStyle w:val="BodyText"/>
      </w:pPr>
      <w:r>
        <w:rPr>
          <w:b/>
          <w:bCs/>
        </w:rPr>
        <w:t xml:space="preserve">References</w:t>
      </w:r>
    </w:p>
    <w:p>
      <w:pPr>
        <w:pStyle w:val="BodyText"/>
      </w:pPr>
      <w:r>
        <w:t xml:space="preserve">[23] ABC News. (2026, July 7). Heat wave in Northeast: deaths, power outages. ABC News. https://abcnews.go.com/US/heat-wave-northeast-deaths-power-outages/</w:t>
      </w:r>
      <w:r>
        <w:t xml:space="preserve"> </w:t>
      </w:r>
      <w:r>
        <w:t xml:space="preserve">[24] CNN. (2026, July 7). Northeast heat wave: deaths reported as heat dome persists. CNN. https://www.cnn.com/2026/07/07/us/heat-wave-northeast-deaths</w:t>
      </w:r>
      <w:r>
        <w:t xml:space="preserve"> </w:t>
      </w:r>
      <w:r>
        <w:t xml:space="preserve">[25] NBC News. (2026, July 7). Northeast heat wave: deaths and power outages. NBC News. https://www.nbcnews.com/news/us-news/northeast-heat-wave-deaths-power-outages</w:t>
      </w:r>
    </w:p>
    <w:p>
      <w:r>
        <w:pict>
          <v:rect style="width:0;height:1.5pt" o:hralign="center" o:hrstd="t" o:hr="t"/>
        </w:pict>
      </w:r>
    </w:p>
    <w:bookmarkEnd w:id="20"/>
    <w:bookmarkStart w:id="21" w:name="Xe25f99865efa6ab8281f4ed0fe0db359fa83f9c"/>
    <w:p>
      <w:pPr>
        <w:pStyle w:val="Heading3"/>
      </w:pPr>
      <w:r>
        <w:t xml:space="preserve">Student-loan overhaul under the One Big Beautiful Bill Act reshapes repayment for millions</w:t>
      </w:r>
    </w:p>
    <w:p>
      <w:pPr>
        <w:pStyle w:val="FirstParagraph"/>
      </w:pPr>
      <w:r>
        <w:t xml:space="preserve">An estimated 7 million Americans face material changes to how they borrow and repay federal student loans under the One Big Beautiful Bill Act, with the most consequential provisions taking effect for new loans disbursed after July 1, 2026. The law collapses the existing income-driven repayment system into a two-plan structure and imposes hard caps on graduate borrowing.</w:t>
      </w:r>
    </w:p>
    <w:p>
      <w:pPr>
        <w:pStyle w:val="BodyText"/>
      </w:pPr>
      <w:r>
        <w:t xml:space="preserve">For new borrowers, the array of income-driven plans — IBR, PAYE, SAVE — is gone, replaced by two choices. One is the Repayment Assistance Plan, an income-based option that charges 1% to 10% of adjusted gross income and forgives the balance after 30 years, while waiving unpaid interest and guaranteeing at least a $50 monthly reduction in principal. The other is a tiered standard plan with fixed payments stretched over 10 to 25 years depending on balance. Once a borrower enrolls in RAP, there is no switching back to the standard plan.</w:t>
      </w:r>
    </w:p>
    <w:p>
      <w:pPr>
        <w:pStyle w:val="BodyText"/>
      </w:pPr>
      <w:r>
        <w:t xml:space="preserve">The borrowing caps hit graduate and professional students hardest. Annual federal loans for new graduate borrowers are capped at $20,500 with a $100,000 lifetime limit, and professional students at $50,000 annually with a $200,000 cap; the Grad PLUS program, which let students borrow up to the full cost of attendance, is being phased out. Analysts estimate the caps affect 25% to 40% of graduate borrowers, falling most heavily on longer and higher-cost programs in fields like medicine, pushing some students toward the private lending market and, in some cases, away from graduate school altogether.</w:t>
      </w:r>
    </w:p>
    <w:p>
      <w:pPr>
        <w:pStyle w:val="BodyText"/>
      </w:pPr>
      <w:r>
        <w:rPr>
          <w:b/>
          <w:bCs/>
        </w:rPr>
        <w:t xml:space="preserve">References</w:t>
      </w:r>
    </w:p>
    <w:p>
      <w:pPr>
        <w:pStyle w:val="BodyText"/>
      </w:pPr>
      <w:r>
        <w:t xml:space="preserve">[26] CBS News. (2026, July 1). Student loan repayment under the One Big Beautiful Bill Act: winners and losers. CBS News. https://www.cbsnews.com/news/student-loan-repayment-one-big-beautiful-bill-act-winners-losers/</w:t>
      </w:r>
      <w:r>
        <w:t xml:space="preserve"> </w:t>
      </w:r>
      <w:r>
        <w:t xml:space="preserve">[27] Time. (2026, July 1). What borrowers should know as sweeping student loan changes from Trump’s Big Beautiful Bill take effect. Time. https://time.com/2026/07/01/one-big-beautiful-bill-student-loans/</w:t>
      </w:r>
      <w:r>
        <w:t xml:space="preserve"> </w:t>
      </w:r>
      <w:r>
        <w:t xml:space="preserve">[28] Just Security. (2026, July 7). Early edition: July 7, 2026. Just Security. https://www.justsecurity.org/145903/early-edition-july-7-2026/</w:t>
      </w:r>
    </w:p>
    <w:p>
      <w:r>
        <w:pict>
          <v:rect style="width:0;height:1.5pt" o:hralign="center" o:hrstd="t" o:hr="t"/>
        </w:pict>
      </w:r>
    </w:p>
    <w:bookmarkEnd w:id="21"/>
    <w:bookmarkEnd w:id="22"/>
    <w:bookmarkStart w:id="24" w:name="corporate-ipo-ma"/>
    <w:p>
      <w:pPr>
        <w:pStyle w:val="Heading2"/>
      </w:pPr>
      <w:r>
        <w:t xml:space="preserve">5. Corporate IPO &amp; M&amp;A</w:t>
      </w:r>
    </w:p>
    <w:p>
      <w:pPr>
        <w:pStyle w:val="FirstParagraph"/>
      </w:pPr>
      <w:r>
        <w:rPr>
          <w:i/>
          <w:iCs/>
        </w:rPr>
        <w:t xml:space="preserve">Note: only 1 story met T1-T4 standards for this category today.</w:t>
      </w:r>
    </w:p>
    <w:bookmarkStart w:id="23" w:name="X753e94819230387598bcecc760604eb3970a318"/>
    <w:p>
      <w:pPr>
        <w:pStyle w:val="Heading3"/>
      </w:pPr>
      <w:r>
        <w:t xml:space="preserve">SK Hynix files F-1/A ahead of $29 billion Nasdaq ADR listing on July 10</w:t>
      </w:r>
    </w:p>
    <w:p>
      <w:pPr>
        <w:pStyle w:val="FirstParagraph"/>
      </w:pPr>
      <w:r>
        <w:t xml:space="preserve">SK Hynix, the South Korean memory-chip maker, filed an F-1/A amendment on July 6, 2026 ahead of American depositary receipt trading commencing on Nasdaq on July 10, in a listing valued at roughly $29 billion. It ranks among the largest foreign-company US listings of 2026 and would be the biggest-ever US stock sale by a foreign firm, surpassing the records set by Alibaba and Saudi Aramco.</w:t>
      </w:r>
    </w:p>
    <w:p>
      <w:pPr>
        <w:pStyle w:val="BodyText"/>
      </w:pPr>
      <w:r>
        <w:t xml:space="preserve">The offering is substantial by any measure. SK Hynix plans to issue up to 17.79 million new shares, each ADR representing one-tenth of a common share, for net proceeds estimated near $28 billion. The ADRs will trade on the Nasdaq Global Select Market under the ticker</w:t>
      </w:r>
      <w:r>
        <w:t xml:space="preserve"> </w:t>
      </w:r>
      <w:r>
        <w:t xml:space="preserve">“SKHY.”</w:t>
      </w:r>
      <w:r>
        <w:t xml:space="preserve"> </w:t>
      </w:r>
      <w:r>
        <w:t xml:space="preserve">The filing was confirmed on SEC EDGAR, and the amendment is the final procedural step before shares change hands.</w:t>
      </w:r>
    </w:p>
    <w:p>
      <w:pPr>
        <w:pStyle w:val="BodyText"/>
      </w:pPr>
      <w:r>
        <w:t xml:space="preserve">The capital is earmarked for the memory-supply buildout that AI demand is straining. SK Hynix has said it will direct the proceeds to domestic production, including roughly ₩31 trillion for the first fab at the Yongin Semiconductor Cluster, ₩19 trillion for an advanced-packaging facility in Cheongju, and ₩12 trillion for extreme-ultraviolet lithography equipment. SK Hynix is the leading supplier of high-bandwidth memory used in AI accelerators, and the listing gives US investors direct Nasdaq exposure to the company at the center of the DRAM and HBM supply chain.</w:t>
      </w:r>
    </w:p>
    <w:p>
      <w:pPr>
        <w:pStyle w:val="BodyText"/>
      </w:pPr>
      <w:r>
        <w:rPr>
          <w:b/>
          <w:bCs/>
        </w:rPr>
        <w:t xml:space="preserve">References</w:t>
      </w:r>
    </w:p>
    <w:p>
      <w:pPr>
        <w:pStyle w:val="BodyText"/>
      </w:pPr>
      <w:r>
        <w:t xml:space="preserve">[29] Bloomberg. (2026, July 5). SK Hynix Nasdaq ADR listing. Bloomberg. https://www.bloomberg.com/news/articles/2026-07-05/sk-hynix-nasdaq-adr-listing</w:t>
      </w:r>
      <w:r>
        <w:t xml:space="preserve"> </w:t>
      </w:r>
      <w:r>
        <w:t xml:space="preserve">[30] Fortune. (2026, July 5). SK Hynix Nasdaq ADR listing. Fortune. https://fortune.com/2026/07/05/sk-hynix-nasdaq-adr-listing/</w:t>
      </w:r>
      <w:r>
        <w:t xml:space="preserve"> </w:t>
      </w:r>
      <w:r>
        <w:t xml:space="preserve">[31] U.S. Securities and Exchange Commission. (2026, July 6). SK hynix Inc. — Form F-1/A. SEC EDGAR. https://www.sec.gov/Archives/edgar/data/0002120882/000119312526295501/d32785df1a.htm</w:t>
      </w:r>
    </w:p>
    <w:p>
      <w:r>
        <w:pict>
          <v:rect style="width:0;height:1.5pt" o:hralign="center" o:hrstd="t" o:hr="t"/>
        </w:pict>
      </w:r>
    </w:p>
    <w:bookmarkEnd w:id="23"/>
    <w:bookmarkEnd w:id="24"/>
    <w:bookmarkStart w:id="25"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2026-07-07T13:01:16Z</dcterms:created>
  <dcterms:modified xsi:type="dcterms:W3CDTF">2026-07-07T13:01:16Z</dcterms:modified>
</cp:coreProperties>
</file>

<file path=docProps/custom.xml><?xml version="1.0" encoding="utf-8"?>
<Properties xmlns="http://schemas.openxmlformats.org/officeDocument/2006/custom-properties" xmlns:vt="http://schemas.openxmlformats.org/officeDocument/2006/docPropsVTypes"/>
</file>