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中国每日热点新闻-2026年5月26日"/>
    <w:p>
      <w:pPr>
        <w:pStyle w:val="Heading1"/>
      </w:pPr>
      <w:r>
        <w:rPr>
          <w:rFonts w:hint="eastAsia"/>
        </w:rPr>
        <w:t xml:space="preserve">中国每日热点新闻</w:t>
      </w:r>
      <w:r>
        <w:t xml:space="preserve"> — </w:t>
      </w:r>
      <w:r>
        <w:rPr>
          <w:rFonts w:hint="eastAsia"/>
        </w:rPr>
        <w:t xml:space="preserve">2026年5月26日</w:t>
      </w:r>
    </w:p>
    <w:bookmarkStart w:id="11" w:name="一经济与市场"/>
    <w:p>
      <w:pPr>
        <w:pStyle w:val="Heading2"/>
      </w:pPr>
      <w:r>
        <w:rPr>
          <w:rFonts w:hint="eastAsia"/>
        </w:rPr>
        <w:t xml:space="preserve">一、经济与市场</w:t>
      </w:r>
    </w:p>
    <w:bookmarkStart w:id="9" w:name="麦格理预警人民币或升至5兑1美元出口商五千亿美元头寸成关键变量"/>
    <w:p>
      <w:pPr>
        <w:pStyle w:val="Heading3"/>
      </w:pPr>
      <w:r>
        <w:rPr>
          <w:rFonts w:hint="eastAsia"/>
        </w:rPr>
        <w:t xml:space="preserve">麦格理预警人民币或升至5兑1美元，出口商五千亿美元头寸成关键变量</w:t>
      </w:r>
    </w:p>
    <w:p>
      <w:pPr>
        <w:pStyle w:val="FirstParagraph"/>
      </w:pPr>
      <w:r>
        <w:rPr>
          <w:rFonts w:hint="eastAsia"/>
        </w:rPr>
        <w:t xml:space="preserve">麦格理集团首席中国经济学家胡伟俊牵头的团队5月26日抛出激进预测：若中国出口商解锁手中累计的美元资产，在岸人民币最高可升至5兑1美元一线。该团队估算，国内出口企业目前手握约5,000亿美元的外汇资产，这部分头寸一旦集中结汇，将触发明显的资本回流。</w:t>
      </w:r>
    </w:p>
    <w:p>
      <w:pPr>
        <w:pStyle w:val="BodyText"/>
      </w:pPr>
      <w:r>
        <w:rPr>
          <w:rFonts w:hint="eastAsia"/>
        </w:rPr>
        <w:t xml:space="preserve">人民币升势已在盘面兑现。5月26日，离岸人民币一度走强至约6.78兑1美元，为2023年2月以来最高水平，背景是美元因中东外交斡旋传出突破信号而普遍走软。自4月起，人民币便在中国人民银行通过中间价的引导下保持渐进升值节奏，意在压缩套利交易空间、防止汇率单边波动伤及出口商。</w:t>
      </w:r>
    </w:p>
    <w:p>
      <w:pPr>
        <w:pStyle w:val="BodyText"/>
      </w:pPr>
      <w:r>
        <w:rPr>
          <w:rFonts w:hint="eastAsia"/>
        </w:rPr>
        <w:t xml:space="preserve">中国人民银行的态度仍是“控速不逆转”。当日人民币中间价较彭博调查均值偏弱301个基点，是2018年有该统计以来最大偏离，被市场解读为政策层希望放缓而非扭转人民币升值方向。麦格理团队强调，若升势延续，更多反映的是美元疲弱，而非国内基本面改善——内需偏弱仍是短板。</w:t>
      </w:r>
    </w:p>
    <w:p>
      <w:pPr>
        <w:pStyle w:val="BodyText"/>
      </w:pPr>
      <w:r>
        <w:rPr>
          <w:b/>
          <w:bCs/>
        </w:rPr>
        <w:t xml:space="preserve">References</w:t>
      </w:r>
    </w:p>
    <w:p>
      <w:pPr>
        <w:pStyle w:val="BodyText"/>
      </w:pPr>
      <w:r>
        <w:t xml:space="preserve">[1] Bloomberg. (2026, May 26). Yuan may hit five per dollar on carry-trade exit, Macquarie says. Bloomberg. https://www.bloomberg.com/news/articles/2026-05-26/yuan-may-hit-five-per-dollar-on-carry-trade-exit-macquarie-says</w:t>
      </w:r>
      <w:r>
        <w:t xml:space="preserve"> </w:t>
      </w:r>
      <w:r>
        <w:t xml:space="preserve">[2] Investing.com. (2026, May). China signals greater yuan tolerance as PBOC sets strongest fixing since 2023. Investing.com. https://www.investing.com/analysis/china-signals-greater-yuan-tolerance-as-pboc-sets-strongest-fixing-since-2023-200673742</w:t>
      </w:r>
    </w:p>
    <w:p>
      <w:r>
        <w:pict>
          <v:rect style="width:0;height:1.5pt" o:hralign="center" o:hrstd="t" o:hr="t"/>
        </w:pict>
      </w:r>
    </w:p>
    <w:bookmarkEnd w:id="9"/>
    <w:bookmarkStart w:id="10" w:name="港股芯片股飙升带动恒指收红市场暂搁csrc跨境券商整顿忧虑"/>
    <w:p>
      <w:pPr>
        <w:pStyle w:val="Heading3"/>
      </w:pPr>
      <w:r>
        <w:rPr>
          <w:rFonts w:hint="eastAsia"/>
        </w:rPr>
        <w:t xml:space="preserve">港股芯片股飙升带动恒指收红，市场暂搁CSRC跨境券商整顿忧虑</w:t>
      </w:r>
    </w:p>
    <w:p>
      <w:pPr>
        <w:pStyle w:val="FirstParagraph"/>
      </w:pPr>
      <w:r>
        <w:rPr>
          <w:rFonts w:hint="eastAsia"/>
        </w:rPr>
        <w:t xml:space="preserve">恒生指数5月26日上午尾盘上扬约0.5%，恒生中国企业指数升0.8%，跟踪香港上市芯片股的指数当日大涨约6%。中芯国际（SMIC）与华虹半导体（Hua</w:t>
      </w:r>
      <w:r>
        <w:t xml:space="preserve"> Hong </w:t>
      </w:r>
      <w:r>
        <w:rPr>
          <w:rFonts w:hint="eastAsia"/>
        </w:rPr>
        <w:t xml:space="preserve">Semiconductor）各自跳升逾16%，把香港半导体板块推上近月高位。</w:t>
      </w:r>
    </w:p>
    <w:p>
      <w:pPr>
        <w:pStyle w:val="BodyText"/>
      </w:pPr>
      <w:r>
        <w:rPr>
          <w:rFonts w:hint="eastAsia"/>
        </w:rPr>
        <w:t xml:space="preserve">驱动力来自华为前一日在上海的半导体路线图发布——华为公布“LogicFolding”芯片架构，并称将于2031年实现等效1.4纳米晶体管密度。投资者重新评估中国半导体自主可控前景，资金涌入港股芯片名单。</w:t>
      </w:r>
    </w:p>
    <w:p>
      <w:pPr>
        <w:pStyle w:val="BodyText"/>
      </w:pPr>
      <w:r>
        <w:rPr>
          <w:rFonts w:hint="eastAsia"/>
        </w:rPr>
        <w:t xml:space="preserve">本轮上涨建立在监管阴影之上。中国证监会（CSRC）5月22日联合七部门宣布对富途、老虎、长桥三家跨境券商展开执法，市场原本担心跨境资本流动收紧将波及港股流动性。5月26日的反弹显示，芯片产业政策利好暂时盖过资本管制忧虑。</w:t>
      </w:r>
    </w:p>
    <w:p>
      <w:pPr>
        <w:pStyle w:val="BodyText"/>
      </w:pPr>
      <w:r>
        <w:rPr>
          <w:b/>
          <w:bCs/>
        </w:rPr>
        <w:t xml:space="preserve">References</w:t>
      </w:r>
    </w:p>
    <w:p>
      <w:pPr>
        <w:pStyle w:val="BodyText"/>
      </w:pPr>
      <w:r>
        <w:t xml:space="preserve">[3] Modern Diplomacy. (2026, May 26). Hong Kong stocks rise as chipmaking optimism eases Beijing capital control concerns. Modern Diplomacy. https://moderndiplomacy.eu/2026/05/26/hong-kong-stocks-rise-as-chipmaking-optimism-eases-beijing-capital-control-concerns/</w:t>
      </w:r>
      <w:r>
        <w:t xml:space="preserve"> </w:t>
      </w:r>
      <w:r>
        <w:t xml:space="preserve">[4] Bloomberg. (2026, May 26). China stocks in Hong Kong rise, shrugging off trading crackdown. Bloomberg. https://www.bloomberg.com/news/articles/2026-05-26/china-stocks-in-hong-kong-rise-shrugging-off-trading-crackdown</w:t>
      </w:r>
      <w:r>
        <w:t xml:space="preserve"> </w:t>
      </w:r>
      <w:r>
        <w:t xml:space="preserve">[5] MarketScreener. (2026, May 26). Hong Kong semi stocks surge after Huawei says it has way to match leading chips. MarketScreener. https://www.marketscreener.com/news/hong-kong-semi-stocks-surge-after-huawei-says-it-has-way-to-match-leading-chips-ce7f5addda81f720</w:t>
      </w:r>
    </w:p>
    <w:p>
      <w:r>
        <w:pict>
          <v:rect style="width:0;height:1.5pt" o:hralign="center" o:hrstd="t" o:hr="t"/>
        </w:pict>
      </w:r>
    </w:p>
    <w:bookmarkEnd w:id="10"/>
    <w:bookmarkEnd w:id="11"/>
    <w:bookmarkStart w:id="14" w:name="二政治与外交"/>
    <w:p>
      <w:pPr>
        <w:pStyle w:val="Heading2"/>
      </w:pPr>
      <w:r>
        <w:rPr>
          <w:rFonts w:hint="eastAsia"/>
        </w:rPr>
        <w:t xml:space="preserve">二、政治与外交</w:t>
      </w:r>
    </w:p>
    <w:bookmarkStart w:id="12" w:name="王毅在联合国安理会主持高级别公开辩论聚焦维护联合国宪章"/>
    <w:p>
      <w:pPr>
        <w:pStyle w:val="Heading3"/>
      </w:pPr>
      <w:r>
        <w:rPr>
          <w:rFonts w:hint="eastAsia"/>
        </w:rPr>
        <w:t xml:space="preserve">王毅在联合国安理会主持高级别公开辩论，聚焦“维护《联合国宪章》”</w:t>
      </w:r>
    </w:p>
    <w:p>
      <w:pPr>
        <w:pStyle w:val="FirstParagraph"/>
      </w:pPr>
      <w:r>
        <w:rPr>
          <w:rFonts w:hint="eastAsia"/>
        </w:rPr>
        <w:t xml:space="preserve">中国外交部长王毅5月26日在纽约主持联合国安理会高级别公开辩论，主题为“维护《联合国宪章》宗旨和原则、加强以联合国为中心的国际体系”。中国作为5月轮值主席国召集此次会议，联合国秘书长古特雷斯（António</w:t>
      </w:r>
      <w:r>
        <w:t xml:space="preserve"> </w:t>
      </w:r>
      <w:r>
        <w:rPr>
          <w:rFonts w:hint="eastAsia"/>
        </w:rPr>
        <w:t xml:space="preserve">Guterres）出席并作通报。</w:t>
      </w:r>
    </w:p>
    <w:p>
      <w:pPr>
        <w:pStyle w:val="BodyText"/>
      </w:pPr>
      <w:r>
        <w:rPr>
          <w:rFonts w:hint="eastAsia"/>
        </w:rPr>
        <w:t xml:space="preserve">中方提交的概念文件锁定四大挑战：全球安全形势动荡、多场冲突并发；国际信任流失；多边合作意愿下滑；以及国际法适用中的“双重标准”。围绕这些议题，中国与俄罗斯预计将强调主权原则，西方国家则会借机敦促结束俄乌冲突——这一分歧本身就是辩论的看点。</w:t>
      </w:r>
    </w:p>
    <w:p>
      <w:pPr>
        <w:pStyle w:val="BodyText"/>
      </w:pPr>
      <w:r>
        <w:rPr>
          <w:rFonts w:hint="eastAsia"/>
        </w:rPr>
        <w:t xml:space="preserve">辩论结束后，王毅密集穿梭外交：5月28日出席“全球治理之友”小组会议，随后于5月28至30日访问加拿大。这是中国本月轮值主席国职责的延伸，也是北京借多边主席国身份巩固“全球治理叙事”的样本。</w:t>
      </w:r>
    </w:p>
    <w:p>
      <w:pPr>
        <w:pStyle w:val="BodyText"/>
      </w:pPr>
      <w:r>
        <w:rPr>
          <w:b/>
          <w:bCs/>
        </w:rPr>
        <w:t xml:space="preserve">References</w:t>
      </w:r>
    </w:p>
    <w:p>
      <w:pPr>
        <w:pStyle w:val="BodyText"/>
      </w:pPr>
      <w:r>
        <w:t xml:space="preserve">[6] Reuters. (2026, May 22). China foreign minister to chair UN Security Council meeting, visit Canada. U.S. News &amp; World Report. https://www.usnews.com/news/world/articles/2026-05-22/china-foreign-minister-to-chair-un-security-council-meeting-in-us-visit-canada</w:t>
      </w:r>
      <w:r>
        <w:t xml:space="preserve"> </w:t>
      </w:r>
      <w:r>
        <w:t xml:space="preserve">[7] CTV News (Reuters). (2026, May 22). China foreign minister to chair UN Security Council meeting, visit Canada. CTV News. https://www.ctvnews.ca/world/article/china-foreign-minister-to-chair-un-security-council-meeting-in-us-visit-canada/</w:t>
      </w:r>
      <w:r>
        <w:t xml:space="preserve"> </w:t>
      </w:r>
      <w:r>
        <w:t xml:space="preserve">[8] Security Council Report. (2026, May 24). High-level open debate: Upholding the UN Charter and strengthening the UN-centred international system. Security Council Report. https://www.securitycouncilreport.org/whatsinblue/2026/05/high-level-open-debate-upholding-the-un-charter-and-strengthening-the-un-centred-international-system.php</w:t>
      </w:r>
      <w:r>
        <w:t xml:space="preserve"> </w:t>
      </w:r>
      <w:r>
        <w:t xml:space="preserve">[9] CGTN. (2026, May 22). Wang Yi to chair high-level UN Security Council meeting, visit Canada. CGTN. https://news.cgtn.com/news/2026-05-22/Wang-Yi-to-chair-high-level-UN-Security-Council-meeting-visit-Canada-1NlWfM39tbW/p.html</w:t>
      </w:r>
    </w:p>
    <w:p>
      <w:r>
        <w:pict>
          <v:rect style="width:0;height:1.5pt" o:hralign="center" o:hrstd="t" o:hr="t"/>
        </w:pict>
      </w:r>
    </w:p>
    <w:bookmarkEnd w:id="12"/>
    <w:bookmarkStart w:id="13" w:name="德国经济部长莱歇率basf西门子能源ceo访华稀土与市场准入成核心议题"/>
    <w:p>
      <w:pPr>
        <w:pStyle w:val="Heading3"/>
      </w:pPr>
      <w:r>
        <w:rPr>
          <w:rFonts w:hint="eastAsia"/>
        </w:rPr>
        <w:t xml:space="preserve">德国经济部长莱歇率BASF、西门子能源CEO访华，稀土与市场准入成核心议题</w:t>
      </w:r>
    </w:p>
    <w:p>
      <w:pPr>
        <w:pStyle w:val="FirstParagraph"/>
      </w:pPr>
      <w:r>
        <w:rPr>
          <w:rFonts w:hint="eastAsia"/>
        </w:rPr>
        <w:t xml:space="preserve">德国经济部长卡特琳娜·莱歇（Katherina</w:t>
      </w:r>
      <w:r>
        <w:t xml:space="preserve"> </w:t>
      </w:r>
      <w:r>
        <w:rPr>
          <w:rFonts w:hint="eastAsia"/>
        </w:rPr>
        <w:t xml:space="preserve">Reiche）5月26日抵达北京，开启她任内首次访华之行（5月26—29日）。同机抵达的包括西门子能源（Siemens</w:t>
      </w:r>
      <w:r>
        <w:t xml:space="preserve"> </w:t>
      </w:r>
      <w:r>
        <w:rPr>
          <w:rFonts w:hint="eastAsia"/>
        </w:rPr>
        <w:t xml:space="preserve">Energy）董事会成员蒂姆·霍尔特（Tim</w:t>
      </w:r>
      <w:r>
        <w:t xml:space="preserve"> </w:t>
      </w:r>
      <w:r>
        <w:rPr>
          <w:rFonts w:hint="eastAsia"/>
        </w:rPr>
        <w:t xml:space="preserve">Holt）、巴斯夫（BASF）首席执行官马库斯·卡米特（Markus</w:t>
      </w:r>
      <w:r>
        <w:t xml:space="preserve"> </w:t>
      </w:r>
      <w:r>
        <w:rPr>
          <w:rFonts w:hint="eastAsia"/>
        </w:rPr>
        <w:t xml:space="preserve">Kamieth），以及蒂森克虏伯（Thyssenkrupp）首席执行官。代表团议程聚焦三大主题：供应链韧性、公平市场准入，以及北京将稀土出口管制作为地缘政治工具的做法。</w:t>
      </w:r>
    </w:p>
    <w:p>
      <w:pPr>
        <w:pStyle w:val="BodyText"/>
      </w:pPr>
      <w:r>
        <w:rPr>
          <w:rFonts w:hint="eastAsia"/>
        </w:rPr>
        <w:t xml:space="preserve">经贸数据为此行设定了筹码。德中双边贸易额2025年1—8月达1,634亿欧元，中国稳居德国第一大贸易伙伴。德国驻华商会对216家会员的调查显示，39%要求柏林为公平竞争发声，51%希望支持德中合作伙伴关系——德国企业对中国市场依赖与对北京政策不满的张力跃然纸上。</w:t>
      </w:r>
    </w:p>
    <w:p>
      <w:pPr>
        <w:pStyle w:val="BodyText"/>
      </w:pPr>
      <w:r>
        <w:rPr>
          <w:rFonts w:hint="eastAsia"/>
        </w:rPr>
        <w:t xml:space="preserve">资本市场同步表态。西门子能源凭借创纪录的1,540亿欧元在手订单进入此次磋商；5月26日股价上涨3.85%至180.40欧元。该访华行也被外界视作德国总理弗里德里希·默茨（Friedrich</w:t>
      </w:r>
      <w:r>
        <w:t xml:space="preserve"> </w:t>
      </w:r>
      <w:r>
        <w:rPr>
          <w:rFonts w:hint="eastAsia"/>
        </w:rPr>
        <w:t xml:space="preserve">Merz）三个月前访华的延续——双方正试图为稀土依赖等关键瓶颈寻找可管理的安排。</w:t>
      </w:r>
    </w:p>
    <w:p>
      <w:pPr>
        <w:pStyle w:val="BodyText"/>
      </w:pPr>
      <w:r>
        <w:rPr>
          <w:b/>
          <w:bCs/>
        </w:rPr>
        <w:t xml:space="preserve">References</w:t>
      </w:r>
    </w:p>
    <w:p>
      <w:pPr>
        <w:pStyle w:val="BodyText"/>
      </w:pPr>
      <w:r>
        <w:t xml:space="preserve">[10] Ad-Hoc-News. (2026, May 26). Siemens Energy carries record order book into China trade talks as shares climb the DAX rankings. Ad-Hoc-News. https://www.ad-hoc-news.de/boerse/news/ueberblick/siemens-energy-carries-record-order-book-into-china-trade-talks-as-shares/69418279</w:t>
      </w:r>
      <w:r>
        <w:t xml:space="preserve"> </w:t>
      </w:r>
      <w:r>
        <w:t xml:space="preserve">[11] Bloomberg. (2026, April 22). German economy chief to make first trip to China to talk trade. Bloomberg. https://www.bloomberg.com/news/articles/2026-04-22/german-economy-chief-to-make-first-trip-to-china-to-talk-trade</w:t>
      </w:r>
      <w:r>
        <w:t xml:space="preserve"> </w:t>
      </w:r>
      <w:r>
        <w:t xml:space="preserve">[12] AFP/Yahoo Finance. (2026, May 25). German companies set demands ahead of minister’s China visit. Yahoo Finance. https://finance.yahoo.com/economy/policy/articles/german-companies-set-demands-ahead-075527077.html</w:t>
      </w:r>
      <w:r>
        <w:t xml:space="preserve"> </w:t>
      </w:r>
      <w:r>
        <w:t xml:space="preserve">[13] Table.Briefings. (2026, May). Reiche visit: BASF, Thyssenkrupp and Siemens to join economy minister. Table.Briefings. https://table.media/en/china/news-en/reiche-visit-basf-thyssenkrupp-and-siemens-to-join-economy-minister</w:t>
      </w:r>
    </w:p>
    <w:p>
      <w:r>
        <w:pict>
          <v:rect style="width:0;height:1.5pt" o:hralign="center" o:hrstd="t" o:hr="t"/>
        </w:pict>
      </w:r>
    </w:p>
    <w:bookmarkEnd w:id="13"/>
    <w:bookmarkEnd w:id="14"/>
    <w:bookmarkStart w:id="17" w:name="三科技与产业"/>
    <w:p>
      <w:pPr>
        <w:pStyle w:val="Heading2"/>
      </w:pPr>
      <w:r>
        <w:rPr>
          <w:rFonts w:hint="eastAsia"/>
        </w:rPr>
        <w:t xml:space="preserve">三、科技与产业</w:t>
      </w:r>
    </w:p>
    <w:bookmarkStart w:id="15" w:name="Xda8cb7a3e4c6feddd33248148a0ac2b6319ef16"/>
    <w:p>
      <w:pPr>
        <w:pStyle w:val="Heading3"/>
      </w:pPr>
      <w:r>
        <w:rPr>
          <w:rFonts w:hint="eastAsia"/>
        </w:rPr>
        <w:t xml:space="preserve">华为推“Tau扩展定律”与LogicFolding架构，目标2031年实现等效1.4纳米</w:t>
      </w:r>
    </w:p>
    <w:p>
      <w:pPr>
        <w:pStyle w:val="FirstParagraph"/>
      </w:pPr>
      <w:r>
        <w:rPr>
          <w:rFonts w:hint="eastAsia"/>
        </w:rPr>
        <w:t xml:space="preserve">华为半导体业务主管何庭波5月25日在上海IEEE国际电路与系统研讨会（ISCAS）上抛出两个新概念：“Tau扩展定律”（Tau</w:t>
      </w:r>
      <w:r>
        <w:t xml:space="preserve"> Scaling </w:t>
      </w:r>
      <w:r>
        <w:rPr>
          <w:rFonts w:hint="eastAsia"/>
        </w:rPr>
        <w:t xml:space="preserve">Law）与“LogicFolding”架构，宣布将以此为路径，到2031年实现等效1.4纳米的晶体管密度。何庭波说：“今年我们为整个行业准备了一个惊喜，不是饱和，也不是延续，而是一次大跨越。”</w:t>
      </w:r>
    </w:p>
    <w:p>
      <w:pPr>
        <w:pStyle w:val="BodyText"/>
      </w:pPr>
      <w:r>
        <w:rPr>
          <w:rFonts w:hint="eastAsia"/>
        </w:rPr>
        <w:t xml:space="preserve">技术路线的核心在于“换坐标系”。Tau扩展定律提出以信号传输时间——而非晶体管尺寸——作为衡量芯片演进的主指标；LogicFolding架构则通过将电路垂直堆叠重组，宣称可将晶体管密度提升50%以上、处理器效率提升约40%，且不依赖EUV光刻设备，绕开美国出口管制的关键卡点。华为称过去六年已基于该方法设计并量产了381款芯片。</w:t>
      </w:r>
    </w:p>
    <w:p>
      <w:pPr>
        <w:pStyle w:val="BodyText"/>
      </w:pPr>
      <w:r>
        <w:rPr>
          <w:rFonts w:hint="eastAsia"/>
        </w:rPr>
        <w:t xml:space="preserve">时间表分两步：搭载LogicFolding的首批麒麟（Kirin）处理器将于2026年内商用；昇腾（Ascend）AI芯片预计2030年前完成集成。横向对比下，中国当前可量产工艺约停在7纳米，台积电（TSMC）目前为2纳米节点，计划2028年推进至1.4纳米——华为所瞄准的2031年目标，意味着大致比台积电晚三年达到同一密度水位。</w:t>
      </w:r>
    </w:p>
    <w:p>
      <w:pPr>
        <w:pStyle w:val="BodyText"/>
      </w:pPr>
      <w:r>
        <w:rPr>
          <w:rFonts w:hint="eastAsia"/>
        </w:rPr>
        <w:t xml:space="preserve">英伟达（Nvidia）首席执行官黄仁勋（Jensen</w:t>
      </w:r>
      <w:r>
        <w:t xml:space="preserve"> </w:t>
      </w:r>
      <w:r>
        <w:rPr>
          <w:rFonts w:hint="eastAsia"/>
        </w:rPr>
        <w:t xml:space="preserve">Huang）近期表态，公司在中国AI芯片市场“基本上已让位”于华为——这句承认为华为新路线图的市场含金量做了脚注。</w:t>
      </w:r>
    </w:p>
    <w:p>
      <w:pPr>
        <w:pStyle w:val="BodyText"/>
      </w:pPr>
      <w:r>
        <w:rPr>
          <w:b/>
          <w:bCs/>
        </w:rPr>
        <w:t xml:space="preserve">References</w:t>
      </w:r>
    </w:p>
    <w:p>
      <w:pPr>
        <w:pStyle w:val="BodyText"/>
      </w:pPr>
      <w:r>
        <w:t xml:space="preserve">[14] Taipei Times. (2026, May 26). Huawei touts chip design breakthrough to shorten gap with TSMC. Taipei Times. https://www.taipeitimes.com/News/biz/archives/2026/05/26/2003857959</w:t>
      </w:r>
      <w:r>
        <w:t xml:space="preserve"> </w:t>
      </w:r>
      <w:r>
        <w:t xml:space="preserve">[15] Bloomberg. (2026, May 25). Huawei touts chipmaking breakthrough to shorten gap with TSMC. Bloomberg. https://www.bloomberg.com/news/articles/2026-05-25/huawei-touts-chipmaking-breakthrough-to-shorten-gap-with-tsmc</w:t>
      </w:r>
      <w:r>
        <w:t xml:space="preserve"> </w:t>
      </w:r>
      <w:r>
        <w:t xml:space="preserve">[16] Fortune. (2026, May 25). Huawei touts chip breakthrough to shorten gap with TSMC. Fortune. https://fortune.com/2026/05/25/huawei-touts-chip-breakthrough-to-shorten-gap-with-tsmc/</w:t>
      </w:r>
      <w:r>
        <w:t xml:space="preserve"> </w:t>
      </w:r>
      <w:r>
        <w:t xml:space="preserve">[17] Huawei. (2026, May). HUAWEI presents the Tau (τ) Scaling Law, enabling breakthroughs in transistor density and system performance. Huawei. https://www.huawei.com/en/news/2026/5/ieee-iscas-tau-scaling</w:t>
      </w:r>
      <w:r>
        <w:t xml:space="preserve"> </w:t>
      </w:r>
      <w:r>
        <w:t xml:space="preserve">[18] Tom’s Hardware. (2026, May). Huawei claims sanctions-busting breakthrough with 1.4nm-class chips by 2031. Tom’s Hardware. https://www.tomshardware.com/tech-industry/semiconductors/huawei-claims-sanctions-busting-breakthrough-with-1-4nm-class-chips-by-2031-claims-55-percent-higher-transistor-density-firm-claims-new-logicfolding-chip-architecture-can-bypass-euv-restrictions-introduces-tau-scaling-law-to-replace-moores-law</w:t>
      </w:r>
    </w:p>
    <w:p>
      <w:r>
        <w:pict>
          <v:rect style="width:0;height:1.5pt" o:hralign="center" o:hrstd="t" o:hr="t"/>
        </w:pict>
      </w:r>
    </w:p>
    <w:bookmarkEnd w:id="15"/>
    <w:bookmarkStart w:id="16" w:name="中芯国际华虹港股各涨逾16华为时刻重燃国产半导体自主信心"/>
    <w:p>
      <w:pPr>
        <w:pStyle w:val="Heading3"/>
      </w:pPr>
      <w:r>
        <w:rPr>
          <w:rFonts w:hint="eastAsia"/>
        </w:rPr>
        <w:t xml:space="preserve">中芯国际、华虹港股各涨逾16%，“华为时刻”重燃国产半导体自主信心</w:t>
      </w:r>
    </w:p>
    <w:p>
      <w:pPr>
        <w:pStyle w:val="FirstParagraph"/>
      </w:pPr>
      <w:r>
        <w:rPr>
          <w:rFonts w:hint="eastAsia"/>
        </w:rPr>
        <w:t xml:space="preserve">中芯国际（SMIC）与华虹半导体（Hua</w:t>
      </w:r>
      <w:r>
        <w:t xml:space="preserve"> Hong </w:t>
      </w:r>
      <w:r>
        <w:rPr>
          <w:rFonts w:hint="eastAsia"/>
        </w:rPr>
        <w:t xml:space="preserve">Semiconductor）5月26日在香港同步跳升逾16%，跟踪港股芯片股的指数当日上涨约6%，恒生指数全日收高0.5%。这是华为公布1.4纳米等效芯片路线图后市场的第一份“投票结果”。</w:t>
      </w:r>
    </w:p>
    <w:p>
      <w:pPr>
        <w:pStyle w:val="BodyText"/>
      </w:pPr>
      <w:r>
        <w:rPr>
          <w:rFonts w:hint="eastAsia"/>
        </w:rPr>
        <w:t xml:space="preserve">热度并不止于龙头。市场把此次行情类比为“另一个DeepSeek时刻”——继年初DeepSeek低成本大模型搅动全球AI预期后，华为新架构再次刷新了投资者对中国半导体自给能力的估值上限。在美国对先进半导体设备出口管制持续加码的背景下，国产替代逻辑成为芯片股估值的主轴。</w:t>
      </w:r>
    </w:p>
    <w:p>
      <w:pPr>
        <w:pStyle w:val="BodyText"/>
      </w:pPr>
      <w:r>
        <w:rPr>
          <w:b/>
          <w:bCs/>
        </w:rPr>
        <w:t xml:space="preserve">References</w:t>
      </w:r>
    </w:p>
    <w:p>
      <w:pPr>
        <w:pStyle w:val="BodyText"/>
      </w:pPr>
      <w:r>
        <w:t xml:space="preserve">[19] Bloomberg. (2026, May 26). Chinese chip stocks rise in Hong Kong on hopes for Huawei tech. Bloomberg. https://www.bloomberg.com/news/articles/2026-05-26/chinese-chip-stocks-rise-in-hong-kong-on-hopes-for-huawei-tech</w:t>
      </w:r>
      <w:r>
        <w:t xml:space="preserve"> </w:t>
      </w:r>
      <w:r>
        <w:t xml:space="preserve">[20] Crypto Briefing. (2026, May 26). Chinese semiconductor stocks rise on optimism over Huawei’s chip plans. Crypto Briefing. https://cryptobriefing.com/chinese-semiconductor-stocks-huawei-chip-plans/</w:t>
      </w:r>
    </w:p>
    <w:p>
      <w:r>
        <w:pict>
          <v:rect style="width:0;height:1.5pt" o:hralign="center" o:hrstd="t" o:hr="t"/>
        </w:pict>
      </w:r>
    </w:p>
    <w:bookmarkEnd w:id="16"/>
    <w:bookmarkEnd w:id="17"/>
    <w:bookmarkStart w:id="18"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Start w:id="22" w:name="五海外涉华财经"/>
    <w:p>
      <w:pPr>
        <w:pStyle w:val="Heading2"/>
      </w:pPr>
      <w:r>
        <w:rPr>
          <w:rFonts w:hint="eastAsia"/>
        </w:rPr>
        <w:t xml:space="preserve">五、海外涉华财经</w:t>
      </w:r>
    </w:p>
    <w:bookmarkStart w:id="19" w:name="证监会等八部委联合整顿跨境券商富途老虎面临逾3亿美元罚单"/>
    <w:p>
      <w:pPr>
        <w:pStyle w:val="Heading3"/>
      </w:pPr>
      <w:r>
        <w:rPr>
          <w:rFonts w:hint="eastAsia"/>
        </w:rPr>
        <w:t xml:space="preserve">证监会等八部委联合整顿跨境券商，富途、老虎面临逾3亿美元罚单</w:t>
      </w:r>
    </w:p>
    <w:p>
      <w:pPr>
        <w:pStyle w:val="FirstParagraph"/>
      </w:pPr>
      <w:r>
        <w:rPr>
          <w:rFonts w:hint="eastAsia"/>
        </w:rPr>
        <w:t xml:space="preserve">中国证监会（CSRC）5月22日联合公安部（MPS）、工信部（MIIT）等八部委宣布对富途控股（Futu</w:t>
      </w:r>
      <w:r>
        <w:t xml:space="preserve"> </w:t>
      </w:r>
      <w:r>
        <w:rPr>
          <w:rFonts w:hint="eastAsia"/>
        </w:rPr>
        <w:t xml:space="preserve">Holdings）、老虎证券（Tiger</w:t>
      </w:r>
      <w:r>
        <w:t xml:space="preserve"> Brokers / UP </w:t>
      </w:r>
      <w:r>
        <w:rPr>
          <w:rFonts w:hint="eastAsia"/>
        </w:rPr>
        <w:t xml:space="preserve">Fintech）及长桥证券（Longbridge</w:t>
      </w:r>
      <w:r>
        <w:t xml:space="preserve"> </w:t>
      </w:r>
      <w:r>
        <w:rPr>
          <w:rFonts w:hint="eastAsia"/>
        </w:rPr>
        <w:t xml:space="preserve">Securities）发起执法，认定三家平台在未取得内地牌照的前提下从事证券业务。</w:t>
      </w:r>
    </w:p>
    <w:p>
      <w:pPr>
        <w:pStyle w:val="BodyText"/>
      </w:pPr>
      <w:r>
        <w:rPr>
          <w:rFonts w:hint="eastAsia"/>
        </w:rPr>
        <w:t xml:space="preserve">罚单金额刷新跨境券商整顿纪录：富途累计处罚约18.5亿元人民币（约2.723亿美元），违法所得另行没收；老虎处罚约3.081亿元人民币（约4,530万美元），并没收约1.031亿元人民币违法所得。两公司CEO个人各被处以1.25亿元人民币罚款。</w:t>
      </w:r>
    </w:p>
    <w:p>
      <w:pPr>
        <w:pStyle w:val="BodyText"/>
      </w:pPr>
      <w:r>
        <w:rPr>
          <w:rFonts w:hint="eastAsia"/>
        </w:rPr>
        <w:t xml:space="preserve">平台进入两年清退倒计时。内地账户在过渡期内仅允许卖出与提现，禁止新增入金或买入；两年期满后须全面停止内地业务。受影响内地用户约100万人，合计资产规模超21万亿元人民币。市场反应剧烈——富途股价当日跌27.5%，老虎跌25.3%；摩根大通（JPMorgan）下调富途目标价至87美元（前值300美元），引用内地业务退出将冲击其约20%营收与约30%盈利。高盛（Goldman</w:t>
      </w:r>
      <w:r>
        <w:t xml:space="preserve"> </w:t>
      </w:r>
      <w:r>
        <w:rPr>
          <w:rFonts w:hint="eastAsia"/>
        </w:rPr>
        <w:t xml:space="preserve">Sachs）维持“中性”，目标价从210美元下调至102美元。</w:t>
      </w:r>
    </w:p>
    <w:p>
      <w:pPr>
        <w:pStyle w:val="BodyText"/>
      </w:pPr>
      <w:r>
        <w:rPr>
          <w:rFonts w:hint="eastAsia"/>
        </w:rPr>
        <w:t xml:space="preserve">此次执法由证监会与香港证监会（HK</w:t>
      </w:r>
      <w:r>
        <w:t xml:space="preserve"> </w:t>
      </w:r>
      <w:r>
        <w:rPr>
          <w:rFonts w:hint="eastAsia"/>
        </w:rPr>
        <w:t xml:space="preserve">SFC）协调推进。八部委的《非法跨境证券、期货、基金业务全面整治实施方案》于5月9日经国务院批准下发，5月22日进入执法阶段，目标是两年内“清零”未经批准的跨境券商业务。</w:t>
      </w:r>
    </w:p>
    <w:p>
      <w:pPr>
        <w:pStyle w:val="BodyText"/>
      </w:pPr>
      <w:r>
        <w:rPr>
          <w:b/>
          <w:bCs/>
        </w:rPr>
        <w:t xml:space="preserve">References</w:t>
      </w:r>
    </w:p>
    <w:p>
      <w:pPr>
        <w:pStyle w:val="BodyText"/>
      </w:pPr>
      <w:r>
        <w:t xml:space="preserve">[21] China Money Network. (2026, May 26). China’s crackdown on offshore stock trading platforms targeting mainland investors. China Money Network. https://www.chinamoneynetwork.com/2026/05/26/chinas-crackdown-on-offshore-stock-trading-platforms-targeting-mainland-investors</w:t>
      </w:r>
      <w:r>
        <w:t xml:space="preserve"> </w:t>
      </w:r>
      <w:r>
        <w:t xml:space="preserve">[22] Bloomberg. (2026, May 22). China to penalize Tiger, Futu in cross-border broker crackdown. Bloomberg. https://www.bloomberg.com/news/articles/2026-05-22/china-to-penalize-tiger-futu-in-cross-border-broker-crackdown</w:t>
      </w:r>
      <w:r>
        <w:t xml:space="preserve"> </w:t>
      </w:r>
      <w:r>
        <w:t xml:space="preserve">[23] Nikkei Asia. (2026, May 22). China deepens crackdown on cross-border brokers, vows cleanup in 2 years. Nikkei Asia. https://asia.nikkei.com/business/finance/china-deepens-crackdown-on-cross-border-brokers-vows-cleanup-in-2-years</w:t>
      </w:r>
      <w:r>
        <w:t xml:space="preserve"> </w:t>
      </w:r>
      <w:r>
        <w:t xml:space="preserve">[24] South China Morning Post. (2026, May 22). China cracks down on Tiger, Futu and Long Bridge for illegal cross-border stock trading. South China Morning Post. https://www.scmp.com/business/china-business/article/3354543/china-regulator-punishes-brokerages-offering-illegal-access-overseas-stocks</w:t>
      </w:r>
    </w:p>
    <w:p>
      <w:r>
        <w:pict>
          <v:rect style="width:0;height:1.5pt" o:hralign="center" o:hrstd="t" o:hr="t"/>
        </w:pict>
      </w:r>
    </w:p>
    <w:bookmarkEnd w:id="19"/>
    <w:bookmarkStart w:id="20" w:name="特朗普向北京示好之际四方安全对话渐失抓手"/>
    <w:p>
      <w:pPr>
        <w:pStyle w:val="Heading3"/>
      </w:pPr>
      <w:r>
        <w:rPr>
          <w:rFonts w:hint="eastAsia"/>
        </w:rPr>
        <w:t xml:space="preserve">特朗普向北京示好之际，“四方安全对话”渐失抓手</w:t>
      </w:r>
    </w:p>
    <w:p>
      <w:pPr>
        <w:pStyle w:val="FirstParagraph"/>
      </w:pPr>
      <w:r>
        <w:rPr>
          <w:rFonts w:hint="eastAsia"/>
        </w:rPr>
        <w:t xml:space="preserve">四方安全对话（Quad）外长级会议5月26日在新德里召开，美国国务卿马尔科·鲁比奥（Marco</w:t>
      </w:r>
      <w:r>
        <w:t xml:space="preserve"> </w:t>
      </w:r>
      <w:r>
        <w:rPr>
          <w:rFonts w:hint="eastAsia"/>
        </w:rPr>
        <w:t xml:space="preserve">Rubio）与日本、澳大利亚、印度同行同席。这场会议召开于唐纳德·特朗普访华十天之后——后者是近十年来首次美国总统访华，期间特朗普以赞赏口吻提及中美“G2”合作前景，让该地区盟友颇为不安。</w:t>
      </w:r>
    </w:p>
    <w:p>
      <w:pPr>
        <w:pStyle w:val="BodyText"/>
      </w:pPr>
      <w:r>
        <w:rPr>
          <w:rFonts w:hint="eastAsia"/>
        </w:rPr>
        <w:t xml:space="preserve">Quad的战略黏性正在松动。2026年2月伊朗冲突爆发期间，美军将一部分亚太资源调往中东；原定在新德里举行的领导人峰会迄今未定档，2025年全年Quad未召开任何领导人级会议；该机制在特朗普政府2025年《国家安全战略》中仅被提及一次。Quad本身就是一个高度非正式的安排——没有正式条约、没有常设秘书处，也没有具备约束力的共同防御承诺。</w:t>
      </w:r>
    </w:p>
    <w:p>
      <w:pPr>
        <w:pStyle w:val="BodyText"/>
      </w:pPr>
      <w:r>
        <w:rPr>
          <w:rFonts w:hint="eastAsia"/>
        </w:rPr>
        <w:t xml:space="preserve">成员国各自寻找出路。日本2026年防务预算增长9.4%，并通过英意日“全球作战航空计划”（GCAP）寻找替代伙伴；印度担心成为美中博弈的“筹码”；澳大利亚则在华盛顿与北京的经济压力之间走钢丝。中国战略界则倾向将Quad定性为“结构不均衡”，而非铁板一块的反华联盟——这种评估正与现实趋于一致。</w:t>
      </w:r>
    </w:p>
    <w:p>
      <w:pPr>
        <w:pStyle w:val="BodyText"/>
      </w:pPr>
      <w:r>
        <w:rPr>
          <w:b/>
          <w:bCs/>
        </w:rPr>
        <w:t xml:space="preserve">References</w:t>
      </w:r>
    </w:p>
    <w:p>
      <w:pPr>
        <w:pStyle w:val="BodyText"/>
      </w:pPr>
      <w:r>
        <w:t xml:space="preserve">[25] Al Jazeera. (2026, May 26). As Trump woos China, the Quad alliance drifts toward irrelevance. Al Jazeera. https://www.aljazeera.com/news/2026/5/26/as-trump-woos-china-the-quad-alliance-drifts-toward-irrelevance</w:t>
      </w:r>
      <w:r>
        <w:t xml:space="preserve"> </w:t>
      </w:r>
      <w:r>
        <w:t xml:space="preserve">[26] Arab News. (2026, May 26). Rubio seeks to revive</w:t>
      </w:r>
      <w:r>
        <w:t xml:space="preserve"> </w:t>
      </w:r>
      <w:r>
        <w:t xml:space="preserve">‘Quad’</w:t>
      </w:r>
      <w:r>
        <w:t xml:space="preserve"> </w:t>
      </w:r>
      <w:r>
        <w:t xml:space="preserve">alliance in India, but staying power unclear. Arab News. https://www.arabnews.com/node/2644939/world</w:t>
      </w:r>
    </w:p>
    <w:p>
      <w:r>
        <w:pict>
          <v:rect style="width:0;height:1.5pt" o:hralign="center" o:hrstd="t" o:hr="t"/>
        </w:pict>
      </w:r>
    </w:p>
    <w:bookmarkEnd w:id="20"/>
    <w:bookmarkStart w:id="21" w:name="中国电动汽车4月出口同比增40至27.8万辆对巴西出口暴增221"/>
    <w:p>
      <w:pPr>
        <w:pStyle w:val="Heading3"/>
      </w:pPr>
      <w:r>
        <w:rPr>
          <w:rFonts w:hint="eastAsia"/>
        </w:rPr>
        <w:t xml:space="preserve">中国电动汽车4月出口同比增40%至27.8万辆，对巴西出口暴增221%</w:t>
      </w:r>
    </w:p>
    <w:p>
      <w:pPr>
        <w:pStyle w:val="FirstParagraph"/>
      </w:pPr>
      <w:r>
        <w:rPr>
          <w:rFonts w:hint="eastAsia"/>
        </w:rPr>
        <w:t xml:space="preserve">海关总署数据显示，中国4月向全球出口电动汽车（EV）278,081辆，同比增长40%，由彭博汇编。其中销往巴西的EV达38,144辆，同比飙升221%，为单一国家/地区中最高。</w:t>
      </w:r>
    </w:p>
    <w:p>
      <w:pPr>
        <w:pStyle w:val="BodyText"/>
      </w:pPr>
      <w:r>
        <w:rPr>
          <w:rFonts w:hint="eastAsia"/>
        </w:rPr>
        <w:t xml:space="preserve">如果把新能源汽车（NEV）口径包含在内——含插电混动（PHEV），4月出口总量同比翻番至约40.6万辆。2026年第一季度叠加4月，中国累计出口EV接近140万辆，是2025年同期的两倍以上。</w:t>
      </w:r>
    </w:p>
    <w:p>
      <w:pPr>
        <w:pStyle w:val="BodyText"/>
      </w:pPr>
      <w:r>
        <w:rPr>
          <w:rFonts w:hint="eastAsia"/>
        </w:rPr>
        <w:t xml:space="preserve">更具结构意义的是出口对国内产销的占比。4月EV出口已占国内NEV批发销量约三分之一，而一年前同期不足20%；中国出口的电动车数量首次超过燃油车。推动力之一是伊朗冲突引发的全球油价冲击——油价上行让海外消费者转向EV的速度明显加快，给中国产能找到了新的出海窗口。</w:t>
      </w:r>
    </w:p>
    <w:p>
      <w:pPr>
        <w:pStyle w:val="BodyText"/>
      </w:pPr>
      <w:r>
        <w:rPr>
          <w:b/>
          <w:bCs/>
        </w:rPr>
        <w:t xml:space="preserve">References</w:t>
      </w:r>
    </w:p>
    <w:p>
      <w:pPr>
        <w:pStyle w:val="BodyText"/>
      </w:pPr>
      <w:r>
        <w:t xml:space="preserve">[27] Bloomberg. (2026, May 26). China EV exports worldwide rise 40% y/y to 278,081 in April. Bloomberg. https://www.bloomberg.com/news/articles/2026-05-26/china-ev-exports-worldwide-rise-40-y-y-to-278-081-in-april</w:t>
      </w:r>
      <w:r>
        <w:t xml:space="preserve"> </w:t>
      </w:r>
      <w:r>
        <w:t xml:space="preserve">[28] Electrek. (2026, May 12). Europe drove global EV sales in April as China exports surged. Electrek. https://electrek.co/2026/05/12/europe-drove-global-ev-sales-in-april-as-china-exports-surged/</w:t>
      </w:r>
      <w:r>
        <w:t xml:space="preserve"> </w:t>
      </w:r>
      <w:r>
        <w:t xml:space="preserve">[29] Atlantic Council. (2026, May). Chinese electric vehicle exports rise amid the oil crisis, posing a dilemma for importing countries. Atlantic Council. https://www.atlanticcouncil.org/blogs/energysource/chinese-electric-vehicle-exports-rise-amid-the-oil-crisis-posing-a-dilemma-for-importing-countries/</w:t>
      </w:r>
    </w:p>
    <w:p>
      <w:r>
        <w:pict>
          <v:rect style="width:0;height:1.5pt" o:hralign="center" o:hrstd="t" o:hr="t"/>
        </w:pict>
      </w:r>
    </w:p>
    <w:bookmarkEnd w:id="21"/>
    <w:bookmarkEnd w:id="22"/>
    <w:bookmarkStart w:id="24" w:name="六企业ipo与并购"/>
    <w:p>
      <w:pPr>
        <w:pStyle w:val="Heading2"/>
      </w:pPr>
      <w:r>
        <w:rPr>
          <w:rFonts w:hint="eastAsia"/>
        </w:rPr>
        <w:t xml:space="preserve">六、企业IPO与并购</w:t>
      </w:r>
    </w:p>
    <w:bookmarkStart w:id="23" w:name="视涯科技5月27日港交所主板挂牌募资11亿港元估值约11亿美元"/>
    <w:p>
      <w:pPr>
        <w:pStyle w:val="Heading3"/>
      </w:pPr>
      <w:r>
        <w:rPr>
          <w:rFonts w:hint="eastAsia"/>
        </w:rPr>
        <w:t xml:space="preserve">视涯科技5月27日港交所主板挂牌，募资11亿港元估值约11亿美元</w:t>
      </w:r>
    </w:p>
    <w:p>
      <w:pPr>
        <w:pStyle w:val="FirstParagraph"/>
      </w:pPr>
      <w:r>
        <w:rPr>
          <w:rFonts w:hint="eastAsia"/>
        </w:rPr>
        <w:t xml:space="preserve">视涯科技（Viewtrix</w:t>
      </w:r>
      <w:r>
        <w:t xml:space="preserve"> Technology Co., </w:t>
      </w:r>
      <w:r>
        <w:rPr>
          <w:rFonts w:hint="eastAsia"/>
        </w:rPr>
        <w:t xml:space="preserve">Ltd.，股票代码03310.HK）将于5月27日在香港联交所主板挂牌H股，发行价定为每股20.81港元，募资约11.0亿港元（约1.4亿美元），按发行价对应市值约11亿美元。中金公司（CICC）与中信证券（CITIC</w:t>
      </w:r>
      <w:r>
        <w:t xml:space="preserve"> </w:t>
      </w:r>
      <w:r>
        <w:rPr>
          <w:rFonts w:hint="eastAsia"/>
        </w:rPr>
        <w:t xml:space="preserve">Securities）担任联席保荐人。</w:t>
      </w:r>
    </w:p>
    <w:p>
      <w:pPr>
        <w:pStyle w:val="BodyText"/>
      </w:pPr>
      <w:r>
        <w:rPr>
          <w:rFonts w:hint="eastAsia"/>
        </w:rPr>
        <w:t xml:space="preserve">这是一家深圳的AMOLED显示驱动芯片设计公司，2012年由曾任职于展讯通信（Spreadtrum）的顾晶创立，原名深圳云英谷科技。公司采用Fabless模式，产品覆盖智能手机AMOLED显示驱动芯片和Micro-OLED硅基显示背板/驱动芯片，下游聚焦智能手机与可穿戴设备。</w:t>
      </w:r>
    </w:p>
    <w:p>
      <w:pPr>
        <w:pStyle w:val="BodyText"/>
      </w:pPr>
      <w:r>
        <w:rPr>
          <w:rFonts w:hint="eastAsia"/>
        </w:rPr>
        <w:t xml:space="preserve">行业地位是定价的支撑点。据弗若斯特沙利文（Frost</w:t>
      </w:r>
      <w:r>
        <w:t xml:space="preserve"> &amp; </w:t>
      </w:r>
      <w:r>
        <w:rPr>
          <w:rFonts w:hint="eastAsia"/>
        </w:rPr>
        <w:t xml:space="preserve">Sullivan）以2024年出货量统计，视涯在全球智能手机AMOLED显示驱动芯片市场排名第五、中国内地排名第一；Micro-OLED显示背板/驱动芯片领域，公司位列全球第二，市场份额约40.7%。本次发行全球售出5,285.92万股H股，附15%超额配售权，香港公开发售约10%、国际配售约90%。</w:t>
      </w:r>
    </w:p>
    <w:p>
      <w:pPr>
        <w:pStyle w:val="BodyText"/>
      </w:pPr>
      <w:r>
        <w:rPr>
          <w:b/>
          <w:bCs/>
        </w:rPr>
        <w:t xml:space="preserve">References</w:t>
      </w:r>
    </w:p>
    <w:p>
      <w:pPr>
        <w:pStyle w:val="BodyText"/>
      </w:pPr>
      <w:r>
        <w:t xml:space="preserve">[30] Caproasia. (2026, May 20). China AMOLED display technology company Viewtrix Technology Hong Kong IPO to raise $140 million at $1.1 billion valuation with expected IPO listing on 27th May 2026. Caproasia. https://www.caproasia.com/2026/05/20/china-amoled-display-technology-company-viewtrix-technology-hong-kong-ipo-to-raise-140-million-at-1-1-billion-valuation-with-expected-ipo-listing-on-27th-may-2026-founded-in-2012-by-gu-jing-as-shen/</w:t>
      </w:r>
      <w:r>
        <w:t xml:space="preserve"> </w:t>
      </w:r>
      <w:r>
        <w:t xml:space="preserve">[31] OLED-Info. (2026, May 20). Viewtrix to IPO on the Hong Kong Stock Exchange on May 27. OLED-Info. https://www.oled-info.com/viewtrix-ipo-hong-kong-stock-exchange-may-27</w:t>
      </w:r>
      <w:r>
        <w:t xml:space="preserve"> </w:t>
      </w:r>
      <w:r>
        <w:t xml:space="preserve">[32] uSMART. (2026, May). Display driver chipmaker VIEWTRIX Technology launches Hong Kong IPO. uSMART Securities. https://www.usmartsecurities.com/en/news-detail/68/7462032444582166799</w:t>
      </w:r>
    </w:p>
    <w:p>
      <w:r>
        <w:pict>
          <v:rect style="width:0;height:1.5pt" o:hralign="center" o:hrstd="t" o:hr="t"/>
        </w:pict>
      </w:r>
    </w:p>
    <w:bookmarkEnd w:id="23"/>
    <w:bookmarkEnd w:id="24"/>
    <w:bookmarkStart w:id="26" w:name="七其他重要事件"/>
    <w:p>
      <w:pPr>
        <w:pStyle w:val="Heading2"/>
      </w:pPr>
      <w:r>
        <w:rPr>
          <w:rFonts w:hint="eastAsia"/>
        </w:rPr>
        <w:t xml:space="preserve">七、其他重要事件</w:t>
      </w:r>
    </w:p>
    <w:bookmarkStart w:id="25" w:name="中国国防部长董军预计连续第二年缺席香格里拉对话"/>
    <w:p>
      <w:pPr>
        <w:pStyle w:val="Heading3"/>
      </w:pPr>
      <w:r>
        <w:rPr>
          <w:rFonts w:hint="eastAsia"/>
        </w:rPr>
        <w:t xml:space="preserve">中国国防部长董军预计连续第二年缺席香格里拉对话</w:t>
      </w:r>
    </w:p>
    <w:p>
      <w:pPr>
        <w:pStyle w:val="FirstParagraph"/>
      </w:pPr>
      <w:r>
        <w:rPr>
          <w:rFonts w:hint="eastAsia"/>
        </w:rPr>
        <w:t xml:space="preserve">国防部长董军预计将连续第二年缺席5月29—31日在新加坡举行的香格里拉对话，北京拟改派以解放军国防大学为主的低规格代表团出席。这一安排意味着，中国主动让出本届地区防务外交舞台的中央位置。</w:t>
      </w:r>
    </w:p>
    <w:p>
      <w:pPr>
        <w:pStyle w:val="BodyText"/>
      </w:pPr>
      <w:r>
        <w:rPr>
          <w:rFonts w:hint="eastAsia"/>
        </w:rPr>
        <w:t xml:space="preserve">美国不打算缺位。美国国防部长皮特·赫格塞思（Pete</w:t>
      </w:r>
      <w:r>
        <w:t xml:space="preserve"> </w:t>
      </w:r>
      <w:r>
        <w:rPr>
          <w:rFonts w:hint="eastAsia"/>
        </w:rPr>
        <w:t xml:space="preserve">Hegseth）确认出席，预计带头主导议题。会场关注三条主线：年初的伊朗冲突外溢、美国对亚洲安全承诺的可信度，以及台海紧张态势。外国武官则普遍关注解放军近期反腐肃军行动对部队战备状态的潜在影响——这也是董军本人位置一度受到外界揣测的背景。</w:t>
      </w:r>
    </w:p>
    <w:p>
      <w:pPr>
        <w:pStyle w:val="BodyText"/>
      </w:pPr>
      <w:r>
        <w:rPr>
          <w:rFonts w:hint="eastAsia"/>
        </w:rPr>
        <w:t xml:space="preserve">董军此前曾于2024年5月31日出席香格里拉对话，是他作为新任国防部长的首次亮相；此后两年连续不到场，被视作中国对该平台战略价值评估发生变化的信号。</w:t>
      </w:r>
    </w:p>
    <w:p>
      <w:pPr>
        <w:pStyle w:val="BodyText"/>
      </w:pPr>
      <w:r>
        <w:rPr>
          <w:b/>
          <w:bCs/>
        </w:rPr>
        <w:t xml:space="preserve">References</w:t>
      </w:r>
    </w:p>
    <w:p>
      <w:pPr>
        <w:pStyle w:val="BodyText"/>
      </w:pPr>
      <w:r>
        <w:t xml:space="preserve">[33] Bloomberg. (2026, May 26). China defense minister expected to skip Singapore forum again. Bloomberg. https://www.bloomberg.com/news/articles/2026-05-26/china-defense-minister-expected-to-skip-singapore-forum-again</w:t>
      </w:r>
      <w:r>
        <w:t xml:space="preserve"> </w:t>
      </w:r>
      <w:r>
        <w:t xml:space="preserve">[34] Taipei Times. (2026, May 26). China’s defence chief tipped to skip Shangri-La Dialogue. Taipei Times. https://www.taipeitimes.com/News/world/archives/2026/05/26/2003857999</w:t>
      </w:r>
      <w:r>
        <w:t xml:space="preserve"> </w:t>
      </w:r>
      <w:r>
        <w:t xml:space="preserve">[35] South China Morning Post. (2026, May 26). China defence chief Dong Jun tipped to skip this year’s Shangri-La Dialogue. South China Morning Post. https://www.scmp.com/news/china/military/article/3354871/china-defence-chief-dong-jun-tipped-skip-years-shangri-la-dialogue</w:t>
      </w:r>
    </w:p>
    <w:p>
      <w:r>
        <w:pict>
          <v:rect style="width:0;height:1.5pt" o:hralign="center" o:hrstd="t" o:hr="t"/>
        </w:pic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2026-05-26T09:08:23Z</dcterms:created>
  <dcterms:modified xsi:type="dcterms:W3CDTF">2026-05-26T09:08:23Z</dcterms:modified>
</cp:coreProperties>
</file>

<file path=docProps/custom.xml><?xml version="1.0" encoding="utf-8"?>
<Properties xmlns="http://schemas.openxmlformats.org/officeDocument/2006/custom-properties" xmlns:vt="http://schemas.openxmlformats.org/officeDocument/2006/docPropsVTypes"/>
</file>