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6月5日"/>
    <w:p>
      <w:pPr>
        <w:pStyle w:val="Heading1"/>
      </w:pPr>
      <w:r>
        <w:rPr>
          <w:rFonts w:hint="eastAsia"/>
        </w:rPr>
        <w:t xml:space="preserve">美国每日热点新闻</w:t>
      </w:r>
      <w:r>
        <w:t xml:space="preserve"> — </w:t>
      </w:r>
      <w:r>
        <w:rPr>
          <w:rFonts w:hint="eastAsia"/>
        </w:rPr>
        <w:t xml:space="preserve">2026年6月5日</w:t>
      </w:r>
    </w:p>
    <w:bookmarkStart w:id="11" w:name="一经济与市场"/>
    <w:p>
      <w:pPr>
        <w:pStyle w:val="Heading2"/>
      </w:pPr>
      <w:r>
        <w:rPr>
          <w:rFonts w:hint="eastAsia"/>
        </w:rPr>
        <w:t xml:space="preserve">一、经济与市场</w:t>
      </w:r>
    </w:p>
    <w:bookmarkStart w:id="9" w:name="五月非农就业报告出炉劳动市场低聘低裁格局延续"/>
    <w:p>
      <w:pPr>
        <w:pStyle w:val="Heading3"/>
      </w:pPr>
      <w:r>
        <w:rPr>
          <w:rFonts w:hint="eastAsia"/>
        </w:rPr>
        <w:t xml:space="preserve">五月非农就业报告出炉,劳动市场“低聘低裁”格局延续</w:t>
      </w:r>
    </w:p>
    <w:p>
      <w:pPr>
        <w:pStyle w:val="FirstParagraph"/>
      </w:pPr>
      <w:r>
        <w:rPr>
          <w:rFonts w:hint="eastAsia"/>
        </w:rPr>
        <w:t xml:space="preserve">劳工统计局(BLS)6月5日上午8时30分(美东时间)发布五月《就业形势报告》,落于“低聘低裁”格局延续的市场预期之中。彭博调查的经济学家此前预计五月新增非农就业约8.5万人,失业率维持在4.3%。报告发布前一天,ADP私营就业数据已先行公布,5月新增12.2万人,高于道琼斯一致预期的11万。3月份的非农数据被上修至增加18.5万人,4月份则录得增加11.5万人。</w:t>
      </w:r>
    </w:p>
    <w:p>
      <w:pPr>
        <w:pStyle w:val="BodyText"/>
      </w:pPr>
      <w:r>
        <w:rPr>
          <w:rFonts w:hint="eastAsia"/>
        </w:rPr>
        <w:t xml:space="preserve">这一组数字的背景,是过去三个月美国劳动力市场的明显减速。Indeed</w:t>
      </w:r>
      <w:r>
        <w:t xml:space="preserve"> Hiring </w:t>
      </w:r>
      <w:r>
        <w:rPr>
          <w:rFonts w:hint="eastAsia"/>
        </w:rPr>
        <w:t xml:space="preserve">Lab经济学家劳拉·乌尔里希(Laura</w:t>
      </w:r>
      <w:r>
        <w:t xml:space="preserve"> </w:t>
      </w:r>
      <w:r>
        <w:rPr>
          <w:rFonts w:hint="eastAsia"/>
        </w:rPr>
        <w:t xml:space="preserve">Ullrich)将当前状态描述为“我们持续听到和看到这种低聘低雇、低裁低离的情绪……人们在延续这种’抱住工作’的趋势。但如果你正在找工作,这是非常艰难的时期,因为新招聘实在太少”。4月份职位空缺数回升至762万,但就业岗位的实际新增仍受到精灵航空(Spirit</w:t>
      </w:r>
      <w:r>
        <w:t xml:space="preserve"> </w:t>
      </w:r>
      <w:r>
        <w:rPr>
          <w:rFonts w:hint="eastAsia"/>
        </w:rPr>
        <w:t xml:space="preserve">Airlines)5月2日停业一事的扰动——该公司倒闭直接令约1.7万名员工失去工作。</w:t>
      </w:r>
    </w:p>
    <w:p>
      <w:pPr>
        <w:pStyle w:val="BodyText"/>
      </w:pPr>
      <w:r>
        <w:rPr>
          <w:rFonts w:hint="eastAsia"/>
        </w:rPr>
        <w:t xml:space="preserve">数据公布的同时,联邦公开市场委员会(FOMC)正陷入分歧。4月28日至29日的FOMC会议以8比4的表决结果维持联邦基金利率目标区间在3.50%–3.75%不变;委员米兰(Miran)主张降息25个基点,而哈马克(Hammack)、卡什卡里(Kashkari)与洛根(Logan)三人则反对委员会维持的宽松偏向。会议纪要显示,核心PCE通胀4月同比上行至3.8%,使部分官员对继续向降息方向倾斜持保留态度。6月5日早盘,美国10年期国债收益率约报4.47%。芝商所(CME)联邦基金利率期货所反映的市场对年内加息一次的概率定价约为85%。嘉信理财首席投资策略师丽兹·安·桑德斯(Liz</w:t>
      </w:r>
      <w:r>
        <w:t xml:space="preserve"> Ann </w:t>
      </w:r>
      <w:r>
        <w:rPr>
          <w:rFonts w:hint="eastAsia"/>
        </w:rPr>
        <w:t xml:space="preserve">Sonders)直言:“如果你看到的是一份火热的就业报告,叠加仍在攀升的通胀数据,我认为联储政策前景将继续被改写。”</w:t>
      </w:r>
    </w:p>
    <w:p>
      <w:pPr>
        <w:pStyle w:val="BodyText"/>
      </w:pPr>
      <w:r>
        <w:rPr>
          <w:b/>
          <w:bCs/>
        </w:rPr>
        <w:t xml:space="preserve">References</w:t>
      </w:r>
    </w:p>
    <w:p>
      <w:pPr>
        <w:pStyle w:val="BodyText"/>
      </w:pPr>
      <w:r>
        <w:t xml:space="preserve">[1] U.S. Bureau of Labor Statistics. (2026, June 5). Schedule of Releases for the Employment Situation. U.S. Bureau of Labor Statistics. https://www.bls.gov/schedule/news_release/empsit.htm</w:t>
      </w:r>
      <w:r>
        <w:t xml:space="preserve"> </w:t>
      </w:r>
      <w:r>
        <w:t xml:space="preserve">[2] U.S. Bureau of Labor Statistics. (2026, May 8). Employment Situation — 2026 M04 Results. U.S. Bureau of Labor Statistics. https://www.bls.gov/news.release/empsit.nr0.htm</w:t>
      </w:r>
      <w:r>
        <w:t xml:space="preserve"> </w:t>
      </w:r>
      <w:r>
        <w:t xml:space="preserve">[3] U.S. Bureau of Labor Statistics. (2026, June). Schedule of Selected Releases for June 2026. U.S. Bureau of Labor Statistics. https://www.bls.gov/schedule/</w:t>
      </w:r>
    </w:p>
    <w:p>
      <w:r>
        <w:pict>
          <v:rect style="width:0;height:1.5pt" o:hralign="center" o:hrstd="t" o:hr="t"/>
        </w:pict>
      </w:r>
    </w:p>
    <w:bookmarkEnd w:id="9"/>
    <w:bookmarkStart w:id="10" w:name="ustr对60个经济体启动301条款关税税率1012.5剑指强迫劳动进口"/>
    <w:p>
      <w:pPr>
        <w:pStyle w:val="Heading3"/>
      </w:pPr>
      <w:r>
        <w:rPr>
          <w:rFonts w:hint="eastAsia"/>
        </w:rPr>
        <w:t xml:space="preserve">USTR对60个经济体启动301条款关税,税率10%–12.5%剑指强迫劳动进口</w:t>
      </w:r>
    </w:p>
    <w:p>
      <w:pPr>
        <w:pStyle w:val="FirstParagraph"/>
      </w:pPr>
      <w:r>
        <w:rPr>
          <w:rFonts w:hint="eastAsia"/>
        </w:rPr>
        <w:t xml:space="preserve">美国贸易代表办公室(USTR)6月2日宣布,在涉及60个经济体的301条款调查中作出初步认定,认为这些经济体在禁止强迫劳动商品进口方面的相关做法“不合理,负担或限制了美国商业”。其中54个经济体被认定未设立此类进口禁令,另有6个——加拿大、欧盟、印度尼西亚、墨西哥、巴基斯坦与厄瓜多尔——虽有规定但未有效执行。USTR提议对已设立禁令或承诺设立禁令的经济体征收10%附加关税,对其他经济体征收12.5%。</w:t>
      </w:r>
    </w:p>
    <w:p>
      <w:pPr>
        <w:pStyle w:val="BodyText"/>
      </w:pPr>
      <w:r>
        <w:rPr>
          <w:rFonts w:hint="eastAsia"/>
        </w:rPr>
        <w:t xml:space="preserve">美国贸易代表格里尔(Greer)在声明中表示:“我们最重要的贸易伙伴在解决以强迫劳动制造的商品进口这一问题上的失败是不可接受的。这造成一种美国工人被迫在不平等竞争场上参与全球竞争的局面。”USTR还拟设立纺织品机制,允许部分经济体的成衣与纺织品进口在限额内享受较低301税率。书面意见征集截止7月6日,听证会定于7月7日。整套行动预计将在7月24日前落地——这是《1974年贸易法》第122条款临时关税授权的失效日。</w:t>
      </w:r>
    </w:p>
    <w:p>
      <w:pPr>
        <w:pStyle w:val="BodyText"/>
      </w:pPr>
      <w:r>
        <w:rPr>
          <w:rFonts w:hint="eastAsia"/>
        </w:rPr>
        <w:t xml:space="preserve">观察人士指出,把301条款与强迫劳动议题挂钩,是当前政府绕开既有自由贸易协定框架、却又规避政治反弹的精巧设计。贸易律师瑞恩·马耶鲁斯(Ryan</w:t>
      </w:r>
      <w:r>
        <w:t xml:space="preserve"> </w:t>
      </w:r>
      <w:r>
        <w:rPr>
          <w:rFonts w:hint="eastAsia"/>
        </w:rPr>
        <w:t xml:space="preserve">Majerus)的评论是:“以这种方式使用301条款在政治上的精妙之处在于,反对打击强迫劳动是非常难站住脚的。”中国外交部发言人毛宁则回应称:“中国不存在所谓强迫劳动,我们反对将其作为政治操弄的借口。”</w:t>
      </w:r>
    </w:p>
    <w:p>
      <w:pPr>
        <w:pStyle w:val="BodyText"/>
      </w:pPr>
      <w:r>
        <w:rPr>
          <w:b/>
          <w:bCs/>
        </w:rPr>
        <w:t xml:space="preserve">References</w:t>
      </w:r>
    </w:p>
    <w:p>
      <w:pPr>
        <w:pStyle w:val="BodyText"/>
      </w:pPr>
      <w:r>
        <w:t xml:space="preserve">[4] Office of the United States Trade Representative. (2026, June 2). USTR Makes Findings and Proposes Action in 60 Section 301 Investigations Relating to Failures to Take Action on Trade in Forced Labor Goods. Office of the United States Trade Representative. https://ustr.gov/about/policy-offices/press-office/press-releases/2026/june/ustr-makes-findings-and-proposes-action-60-section-301-investigations-relating-failures-take-action</w:t>
      </w:r>
      <w:r>
        <w:t xml:space="preserve"> </w:t>
      </w:r>
      <w:r>
        <w:t xml:space="preserve">[5] Lobosco, K. (2026, June 3). U.S. proposes fresh tariffs on 60 economies over forced labor trade practices. CNBC. https://www.cnbc.com/2026/06/03/us-tariffs-60-economies-dection-301-forced-labor-trade-practices-.html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6" w:name="二政治与外交"/>
    <w:p>
      <w:pPr>
        <w:pStyle w:val="Heading2"/>
      </w:pPr>
      <w:r>
        <w:rPr>
          <w:rFonts w:hint="eastAsia"/>
        </w:rPr>
        <w:t xml:space="preserve">二、政治与外交</w:t>
      </w:r>
    </w:p>
    <w:bookmarkStart w:id="12" w:name="参议院52-47通过700亿美元移民执法法案未限制特朗普反武器化基金"/>
    <w:p>
      <w:pPr>
        <w:pStyle w:val="Heading3"/>
      </w:pPr>
      <w:r>
        <w:rPr>
          <w:rFonts w:hint="eastAsia"/>
        </w:rPr>
        <w:t xml:space="preserve">参议院52-47通过700亿美元移民执法法案,未限制特朗普“反武器化”基金</w:t>
      </w:r>
    </w:p>
    <w:p>
      <w:pPr>
        <w:pStyle w:val="FirstParagraph"/>
      </w:pPr>
      <w:r>
        <w:rPr>
          <w:rFonts w:hint="eastAsia"/>
        </w:rPr>
        <w:t xml:space="preserve">参议院在18小时的“vote-a-rama”修正案马拉松后,于6月5日凌晨5时前以52票对47票通过《保护美国法案》(Secure</w:t>
      </w:r>
      <w:r>
        <w:t xml:space="preserve"> America </w:t>
      </w:r>
      <w:r>
        <w:rPr>
          <w:rFonts w:hint="eastAsia"/>
        </w:rPr>
        <w:t xml:space="preserve">Act,S.2),为移民与海关执法局(ICE)和海关与边境保护局(CBP)提供为期三年、合计约700亿美元的拨款,覆盖至特朗普第二任期末。共和党阵营中唯一投反对票的是阿拉斯加州参议员丽莎·穆考斯基(Lisa</w:t>
      </w:r>
      <w:r>
        <w:t xml:space="preserve"> </w:t>
      </w:r>
      <w:r>
        <w:rPr>
          <w:rFonts w:hint="eastAsia"/>
        </w:rPr>
        <w:t xml:space="preserve">Murkowski),她在场外批评共和党绕开常规拨款程序、通过预算调和(reconciliation)程序为联邦机构提供长达三年半资金的做法。</w:t>
      </w:r>
    </w:p>
    <w:p>
      <w:pPr>
        <w:pStyle w:val="BodyText"/>
      </w:pPr>
      <w:r>
        <w:rPr>
          <w:rFonts w:hint="eastAsia"/>
        </w:rPr>
        <w:t xml:space="preserve">法案的最大政治争议不在拨款规模,而在民主党试图加入的修正案——禁止特朗普政府动用司法部一笔17.76亿美元的“反武器化”和解基金,该基金已在5月29日被一名联邦法官裁定违法暂时冻结。所有相关修正案均未获通过,共和党此前已主动剔除10亿美元用于白宫舞厅安保的拨款条款,以换取保守派议员支持。法案现送众议院审议。</w:t>
      </w:r>
    </w:p>
    <w:p>
      <w:pPr>
        <w:pStyle w:val="BodyText"/>
      </w:pPr>
      <w:r>
        <w:rPr>
          <w:b/>
          <w:bCs/>
        </w:rPr>
        <w:t xml:space="preserve">References</w:t>
      </w:r>
    </w:p>
    <w:p>
      <w:pPr>
        <w:pStyle w:val="BodyText"/>
      </w:pPr>
      <w:r>
        <w:t xml:space="preserve">[6] Detrow, S., &amp; Walsh, D. (2026, June 5). Senate passes immigration enforcement bill without limits on Trump settlement fund. NPR. https://www.npr.org/2026/06/05/nx-s1-5847589/senate-passes-immigration-enforcement-bill-without-limits-on-trump-settlement-fund</w:t>
      </w:r>
      <w:r>
        <w:t xml:space="preserve"> </w:t>
      </w:r>
      <w:r>
        <w:t xml:space="preserve">[7] Foran, C., &amp; Grayer, A. (2026, June 5). Senate passes $70 billion ICE and border patrol bill, overcoming internal GOP rebellion over DOJ fund. CNN. https://www.cnn.com/2026/06/04/politics/senate-trump-weaponization-fund-immigration</w:t>
      </w:r>
    </w:p>
    <w:p>
      <w:r>
        <w:pict>
          <v:rect style="width:0;height:1.5pt" o:hralign="center" o:hrstd="t" o:hr="t"/>
        </w:pict>
      </w:r>
    </w:p>
    <w:bookmarkEnd w:id="12"/>
    <w:bookmarkStart w:id="13" w:name="众议院226-195通过乌克兰支持法案18名共和党人加入民主党阵营"/>
    <w:p>
      <w:pPr>
        <w:pStyle w:val="Heading3"/>
      </w:pPr>
      <w:r>
        <w:rPr>
          <w:rFonts w:hint="eastAsia"/>
        </w:rPr>
        <w:t xml:space="preserve">众议院226-195通过《乌克兰支持法案》,18名共和党人加入民主党阵营</w:t>
      </w:r>
    </w:p>
    <w:p>
      <w:pPr>
        <w:pStyle w:val="FirstParagraph"/>
      </w:pPr>
      <w:r>
        <w:rPr>
          <w:rFonts w:hint="eastAsia"/>
        </w:rPr>
        <w:t xml:space="preserve">众议院6月5日以226票对195票通过《乌克兰支持法案》,18名共和党人与全部民主党议员、加上长期与共和党表决一致的独立议员凯文·凯利(Kevin</w:t>
      </w:r>
      <w:r>
        <w:t xml:space="preserve"> </w:t>
      </w:r>
      <w:r>
        <w:rPr>
          <w:rFonts w:hint="eastAsia"/>
        </w:rPr>
        <w:t xml:space="preserve">Kiley)联手促成法案过关。法案绕开议长意志,经由“放弃议事程序请愿”(discharge</w:t>
      </w:r>
      <w:r>
        <w:t xml:space="preserve"> </w:t>
      </w:r>
      <w:r>
        <w:rPr>
          <w:rFonts w:hint="eastAsia"/>
        </w:rPr>
        <w:t xml:space="preserve">petition)获取218个签名直接送上院会——这一过程在共和党中由唐·培根(Don</w:t>
      </w:r>
      <w:r>
        <w:t xml:space="preserve"> </w:t>
      </w:r>
      <w:r>
        <w:rPr>
          <w:rFonts w:hint="eastAsia"/>
        </w:rPr>
        <w:t xml:space="preserve">Bacon,内布拉斯加州)和布莱恩·菲茨帕特里克(Brian</w:t>
      </w:r>
      <w:r>
        <w:t xml:space="preserve"> </w:t>
      </w:r>
      <w:r>
        <w:rPr>
          <w:rFonts w:hint="eastAsia"/>
        </w:rPr>
        <w:t xml:space="preserve">Fitzpatrick,宾夕法尼亚州)牵头,与民主党人格雷戈里·米克斯(Gregory</w:t>
      </w:r>
      <w:r>
        <w:t xml:space="preserve"> </w:t>
      </w:r>
      <w:r>
        <w:rPr>
          <w:rFonts w:hint="eastAsia"/>
        </w:rPr>
        <w:t xml:space="preserve">Meeks)协作历时近一年。</w:t>
      </w:r>
    </w:p>
    <w:p>
      <w:pPr>
        <w:pStyle w:val="BodyText"/>
      </w:pPr>
      <w:r>
        <w:rPr>
          <w:rFonts w:hint="eastAsia"/>
        </w:rPr>
        <w:t xml:space="preserve">法案规模上,授权80亿美元外国军事融资(FMF)贷款,并在2026至2027两个财年每年提供3亿美元用于乌军训练与装备。最具杀伤力的条款是对所有俄罗斯进口商品征收500%关税,并禁止俄罗斯原油进口;同时点名打击协助俄方规避制裁的境外个人与机构。这是国会迄今对特朗普乌克兰政策最直接的反弹之一。德州共和党议员基思·塞尔夫(Keith</w:t>
      </w:r>
      <w:r>
        <w:t xml:space="preserve"> </w:t>
      </w:r>
      <w:r>
        <w:rPr>
          <w:rFonts w:hint="eastAsia"/>
        </w:rPr>
        <w:t xml:space="preserve">Self)在表决前发言反对,马里兰州民主党人斯滕尼·霍耶(Steny</w:t>
      </w:r>
      <w:r>
        <w:t xml:space="preserve"> </w:t>
      </w:r>
      <w:r>
        <w:rPr>
          <w:rFonts w:hint="eastAsia"/>
        </w:rPr>
        <w:t xml:space="preserve">Hoyer)则在院会陈词时说:“此刻必须在对与错、善与恶之间做出抉择——不是明天,而是今天,就在今夜。”</w:t>
      </w:r>
    </w:p>
    <w:p>
      <w:pPr>
        <w:pStyle w:val="BodyText"/>
      </w:pPr>
      <w:r>
        <w:rPr>
          <w:b/>
          <w:bCs/>
        </w:rPr>
        <w:t xml:space="preserve">References</w:t>
      </w:r>
    </w:p>
    <w:p>
      <w:pPr>
        <w:pStyle w:val="BodyText"/>
      </w:pPr>
      <w:r>
        <w:t xml:space="preserve">[8] Krieg, G. (2026, June 5). House Republicans pass bipartisan Ukraine Support Act, defying Trump. Time. https://time.com/article/2026/06/05/house-republicans-bipartisan-ukraine-support-act-aid-russia-trump/</w:t>
      </w:r>
      <w:r>
        <w:t xml:space="preserve"> </w:t>
      </w:r>
      <w:r>
        <w:t xml:space="preserve">[9] Grayer, A., &amp; Raju, M. (2026, June 4). House approves Ukraine aid and Russian sanctions, defying Trump and GOP leaders. CNN. https://www.cnn.com/2026/06/04/politics/house-vote-ukraine-russia-bill</w:t>
      </w:r>
    </w:p>
    <w:p>
      <w:r>
        <w:pict>
          <v:rect style="width:0;height:1.5pt" o:hralign="center" o:hrstd="t" o:hr="t"/>
        </w:pict>
      </w:r>
    </w:p>
    <w:bookmarkEnd w:id="13"/>
    <w:bookmarkStart w:id="14" w:name="特朗普正式提名托德布兰奇为司法部长"/>
    <w:p>
      <w:pPr>
        <w:pStyle w:val="Heading3"/>
      </w:pPr>
      <w:r>
        <w:rPr>
          <w:rFonts w:hint="eastAsia"/>
        </w:rPr>
        <w:t xml:space="preserve">特朗普正式提名托德·布兰奇为司法部长</w:t>
      </w:r>
    </w:p>
    <w:p>
      <w:pPr>
        <w:pStyle w:val="FirstParagraph"/>
      </w:pPr>
      <w:r>
        <w:rPr>
          <w:rFonts w:hint="eastAsia"/>
        </w:rPr>
        <w:t xml:space="preserve">特朗普6月3日至4日在白宫晚宴上向出席者宣布,将正式提名现任代理司法部长托德·布兰奇(Todd</w:t>
      </w:r>
      <w:r>
        <w:t xml:space="preserve"> </w:t>
      </w:r>
      <w:r>
        <w:rPr>
          <w:rFonts w:hint="eastAsia"/>
        </w:rPr>
        <w:t xml:space="preserve">Blanche)出任司法部长一职,提名文件于6月5日(周四)送达参议院。布兰奇曾担任特朗普2024年纽约州刑事审判中的首席辩护律师,2026年4月在前司法部长帕姆·邦迪(Pam</w:t>
      </w:r>
      <w:r>
        <w:t xml:space="preserve"> </w:t>
      </w:r>
      <w:r>
        <w:rPr>
          <w:rFonts w:hint="eastAsia"/>
        </w:rPr>
        <w:t xml:space="preserve">Bondi)被解职后接任代理司长。媒体报道指,邦迪去职的导火索之一是其对杰弗里·爱泼斯坦案档案处理方式的争议。</w:t>
      </w:r>
    </w:p>
    <w:p>
      <w:pPr>
        <w:pStyle w:val="BodyText"/>
      </w:pPr>
      <w:r>
        <w:rPr>
          <w:rFonts w:hint="eastAsia"/>
        </w:rPr>
        <w:t xml:space="preserve">布兰奇接任后,司法部最受瞩目的动作是推出一笔17.76亿美元的“反武器化”和解基金——该基金已于5月29日被联邦法官裁定暂时冻结,理由是行政部门未能为开支来源提供合法授权。布兰奇若获参议院确认,将成为特朗普第二任期首位经参议院全程审议出任的司法部长。多数党领袖在被问及确认前景时仅称“很难说”。</w:t>
      </w:r>
    </w:p>
    <w:p>
      <w:pPr>
        <w:pStyle w:val="BodyText"/>
      </w:pPr>
      <w:r>
        <w:rPr>
          <w:b/>
          <w:bCs/>
        </w:rPr>
        <w:t xml:space="preserve">References</w:t>
      </w:r>
    </w:p>
    <w:p>
      <w:pPr>
        <w:pStyle w:val="BodyText"/>
      </w:pPr>
      <w:r>
        <w:t xml:space="preserve">[10] Associated Press. (2026, June 5). Trump says he will nominate Todd Blanche as US attorney general. Hawaii Tribune-Herald. https://www.hawaiitribune-herald.com/2026/06/05/nation-world-news/trump-says-he-will-nominate-todd-blanche-as-us-attorney-general/</w:t>
      </w:r>
      <w:r>
        <w:t xml:space="preserve"> </w:t>
      </w:r>
      <w:r>
        <w:t xml:space="preserve">[11] Deseret News. (2026, June 4). What to know about Todd Blanche and his potential confirmation to be permanent U.S. attorney general. Deseret News. https://www.deseret.com/politics/2026/06/04/acting-attorney-general-todd-blanche-president-trump-justice-department-pam-bondi/</w:t>
      </w:r>
    </w:p>
    <w:p>
      <w:r>
        <w:pict>
          <v:rect style="width:0;height:1.5pt" o:hralign="center" o:hrstd="t" o:hr="t"/>
        </w:pict>
      </w:r>
    </w:p>
    <w:bookmarkEnd w:id="14"/>
    <w:bookmarkStart w:id="15" w:name="美伊和平协议卡点曝光霍尔木兹黎巴嫩与铀浓缩三大死结"/>
    <w:p>
      <w:pPr>
        <w:pStyle w:val="Heading3"/>
      </w:pPr>
      <w:r>
        <w:rPr>
          <w:rFonts w:hint="eastAsia"/>
        </w:rPr>
        <w:t xml:space="preserve">美伊和平协议卡点曝光:霍尔木兹、黎巴嫩与铀浓缩三大死结</w:t>
      </w:r>
    </w:p>
    <w:p>
      <w:pPr>
        <w:pStyle w:val="FirstParagraph"/>
      </w:pPr>
      <w:r>
        <w:rPr>
          <w:rFonts w:hint="eastAsia"/>
        </w:rPr>
        <w:t xml:space="preserve">彭博社6月5日刊发的分析显示,美伊两国谈判代表已就一份为期60天的谅解备忘录(MOU)取得文本共识,但卡在三个核心议题上,等待特朗普最后签字。副总统J.D.万斯(JD</w:t>
      </w:r>
      <w:r>
        <w:t xml:space="preserve"> </w:t>
      </w:r>
      <w:r>
        <w:rPr>
          <w:rFonts w:hint="eastAsia"/>
        </w:rPr>
        <w:t xml:space="preserve">Vance)透露:“我们在几处措辞上仍在反复推敲……很难说总统究竟何时,或者是否,会签署。”伊朗外长阿巴斯·阿拉格奇(Abbas</w:t>
      </w:r>
      <w:r>
        <w:t xml:space="preserve"> </w:t>
      </w:r>
      <w:r>
        <w:rPr>
          <w:rFonts w:hint="eastAsia"/>
        </w:rPr>
        <w:t xml:space="preserve">Araghchi)则在德黑兰表示,谈判“没有实质性进展……信息仍在持续交换”。</w:t>
      </w:r>
    </w:p>
    <w:p>
      <w:pPr>
        <w:pStyle w:val="BodyText"/>
      </w:pPr>
      <w:r>
        <w:rPr>
          <w:rFonts w:hint="eastAsia"/>
        </w:rPr>
        <w:t xml:space="preserve">三个未结症结清晰可见。第一是核浓缩——伊朗目前持有约440.9公斤丰度60%的铀,MOU将载入伊方不寻求核武器的承诺,并把高浓缩铀的处置与未来浓缩活动列为60天窗口期内的首项议题。第二是霍尔木兹海峡——文本要求伊朗放弃任何对该水道征收通行费的设想,并须在30天内清除海峡内布设的全部水雷。第三是黎巴嫩——MOU将要求结束以色列与黎巴嫩真主党之间的战事,这一点在特朗普与以色列总理内塔尼亚胡之间至少引发过一次紧张交锋。</w:t>
      </w:r>
    </w:p>
    <w:p>
      <w:pPr>
        <w:pStyle w:val="BodyText"/>
      </w:pPr>
      <w:r>
        <w:rPr>
          <w:rFonts w:hint="eastAsia"/>
        </w:rPr>
        <w:t xml:space="preserve">技术层面则在独立运转。国际原子能机构(IAEA)6月4日致电德黑兰,呼吁伊方“建设性”配合核查并就库存接受新一轮监督。伊方此前已两度修订MOU草案,华盛顿亦反向递交了最新的修改稿——这一节奏与5月底Axios披露的“双方文本基本就位,只待特朗普点头”高度吻合。</w:t>
      </w:r>
    </w:p>
    <w:p>
      <w:pPr>
        <w:pStyle w:val="BodyText"/>
      </w:pPr>
      <w:r>
        <w:rPr>
          <w:b/>
          <w:bCs/>
        </w:rPr>
        <w:t xml:space="preserve">References</w:t>
      </w:r>
    </w:p>
    <w:p>
      <w:pPr>
        <w:pStyle w:val="BodyText"/>
      </w:pPr>
      <w:r>
        <w:t xml:space="preserve">[12] Bloomberg News. (2026, June 5). Iran-US peace deal: Why Hormuz, Lebanon, nuclear enrichment are sticking points. Bloomberg. https://www.bloomberg.com/news/articles/2026-06-05/iran-us-peace-deal-why-hormuz-lebanon-nuclear-enrichment-are-sticking-points</w:t>
      </w:r>
      <w:r>
        <w:t xml:space="preserve"> </w:t>
      </w:r>
      <w:r>
        <w:t xml:space="preserve">[13] Ravid, B. (2026, May 28). Scoop: U.S. and Iran reach deal but need Trump’s final approval, officials say. Axios. https://www.axios.com/2026/05/28/iran-peace-deal-trump-approval</w:t>
      </w:r>
      <w:r>
        <w:t xml:space="preserve"> </w:t>
      </w:r>
      <w:r>
        <w:t xml:space="preserve">[14] Times of Israel Staff. (2026, June). US, Iran said closing in on framework for permanent deal, as Trump renews bomb threats. The Times of Israel. https://www.timesofisrael.com/us-iran-said-closing-in-on-framework-for-permanent-deal-as-trump-renews-bomb-threats/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特朗普签署ai行政命令要求前沿模型发布前30天向政府开放访问"/>
    <w:p>
      <w:pPr>
        <w:pStyle w:val="Heading3"/>
      </w:pPr>
      <w:r>
        <w:rPr>
          <w:rFonts w:hint="eastAsia"/>
        </w:rPr>
        <w:t xml:space="preserve">特朗普签署AI行政命令,要求前沿模型发布前30天向政府开放访问</w:t>
      </w:r>
    </w:p>
    <w:p>
      <w:pPr>
        <w:pStyle w:val="FirstParagraph"/>
      </w:pPr>
      <w:r>
        <w:rPr>
          <w:rFonts w:hint="eastAsia"/>
        </w:rPr>
        <w:t xml:space="preserve">特朗普6月2日签署题为《推动先进人工智能创新与安全》的行政命令,围绕前沿AI模型与联邦网络安全建立一套“自愿但有牙齿”的框架。命令最核心的条款是建立一种由前沿AI开发者自愿参与的机制——在新模型公开发布前最长30天,把模型交给联邦政府访问,以便国家安全机构进行能力评估与红队测试。命令明确,这一安排不构成任何强制性许可、预审或备案要求,仍保持自愿性质。</w:t>
      </w:r>
    </w:p>
    <w:p>
      <w:pPr>
        <w:pStyle w:val="BodyText"/>
      </w:pPr>
      <w:r>
        <w:rPr>
          <w:rFonts w:hint="eastAsia"/>
        </w:rPr>
        <w:t xml:space="preserve">执行节奏分工精细。国土安全部经网络安全和基础设施安全局(CISA)在30天内发布约束性运营指令,扩展面向农村医院、社区银行与地方公用事业等关键基础设施的AI网络防御工具。财政部牵头建立AI网络安全清算中心,负责漏洞情报汇总;管理与预算办公室(OMB)统筹AI漏洞拨款资金;人事管理办公室(OPM)在60天内推动一支“Tech</w:t>
      </w:r>
      <w:r>
        <w:t xml:space="preserve"> </w:t>
      </w:r>
      <w:r>
        <w:rPr>
          <w:rFonts w:hint="eastAsia"/>
        </w:rPr>
        <w:t xml:space="preserve">Force”网安招聘计划。财政部、国家安全局(NSA)与CISA则被要求在60天内联合制定一套AI网络基准。命令前言中,特朗普称:“我的政府通过砍掉官僚束缚,释放了AI领域巨大的技术增长与经济投资。”</w:t>
      </w:r>
    </w:p>
    <w:p>
      <w:pPr>
        <w:pStyle w:val="BodyText"/>
      </w:pPr>
      <w:r>
        <w:rPr>
          <w:rFonts w:hint="eastAsia"/>
        </w:rPr>
        <w:t xml:space="preserve">这一框架与一年前的Biden版AI行政命令相比,放弃了强制性披露与测试结构,转而依赖前沿模型公司的自愿合作和市场激励——但通过CISA绑定的网络防御指令,赋予了行政部门在AI能力被认定威胁关键基础设施时的快速响应权限。NPR的报道指出,业界普遍认为这一安排为Anthropic、OpenAI、Google与xAI等公司提供了一个相对可预期的合规通道。</w:t>
      </w:r>
    </w:p>
    <w:p>
      <w:pPr>
        <w:pStyle w:val="BodyText"/>
      </w:pPr>
      <w:r>
        <w:rPr>
          <w:b/>
          <w:bCs/>
        </w:rPr>
        <w:t xml:space="preserve">References</w:t>
      </w:r>
    </w:p>
    <w:p>
      <w:pPr>
        <w:pStyle w:val="BodyText"/>
      </w:pPr>
      <w:r>
        <w:t xml:space="preserve">[15] The White House. (2026, June 2). Promoting Advanced Artificial Intelligence Innovation and Security. The White House. https://www.whitehouse.gov/presidential-actions/2026/06/promoting-advanced-artificial-intelligence-innovation-and-security/</w:t>
      </w:r>
      <w:r>
        <w:t xml:space="preserve"> </w:t>
      </w:r>
      <w:r>
        <w:t xml:space="preserve">[16] Allyn, B. (2026, June 2). Trump’s new AI safety order seeks voluntary review of new models. NPR. https://www.npr.org/2026/06/02/nx-s1-5844347/ai-safety-trump-executive-order</w:t>
      </w:r>
      <w:r>
        <w:t xml:space="preserve"> </w:t>
      </w:r>
      <w:r>
        <w:t xml:space="preserve">[17] Vanian, J. (2026, June 2). Trump signs AI executive order asking companies to give government early access to models. CNBC. https://www.cnbc.com/2026/06/02/trump-executive-order-ai.html</w:t>
      </w:r>
    </w:p>
    <w:p>
      <w:r>
        <w:pict>
          <v:rect style="width:0;height:1.5pt" o:hralign="center" o:hrstd="t" o:hr="t"/>
        </w:pict>
      </w:r>
    </w:p>
    <w:bookmarkEnd w:id="17"/>
    <w:bookmarkStart w:id="18" w:name="商务部全球收紧中资总部企业海外子公司也禁购nvidia-blackwell"/>
    <w:p>
      <w:pPr>
        <w:pStyle w:val="Heading3"/>
      </w:pPr>
      <w:r>
        <w:rPr>
          <w:rFonts w:hint="eastAsia"/>
        </w:rPr>
        <w:t xml:space="preserve">商务部全球收紧:中资总部企业海外子公司也禁购Nvidia</w:t>
      </w:r>
      <w:r>
        <w:t xml:space="preserve"> Blackwell</w:t>
      </w:r>
    </w:p>
    <w:p>
      <w:pPr>
        <w:pStyle w:val="FirstParagraph"/>
      </w:pPr>
      <w:r>
        <w:rPr>
          <w:rFonts w:hint="eastAsia"/>
        </w:rPr>
        <w:t xml:space="preserve">商务部工业与安全局(BIS)6月1日发布指引,明确高端AI芯片(包括Nvidia</w:t>
      </w:r>
      <w:r>
        <w:t xml:space="preserve"> </w:t>
      </w:r>
      <w:r>
        <w:rPr>
          <w:rFonts w:hint="eastAsia"/>
        </w:rPr>
        <w:t xml:space="preserve">Blackwell)的出口许可要求适用于一切总部位于中国的企业及其在全球任何地方的子公司与关联公司——而非仅限于实体本身在中国境内时。Nvidia随即在公司说明中表态:“许可证是向中国总部企业发运受控产品的前提。”</w:t>
      </w:r>
    </w:p>
    <w:p>
      <w:pPr>
        <w:pStyle w:val="BodyText"/>
      </w:pPr>
      <w:r>
        <w:rPr>
          <w:rFonts w:hint="eastAsia"/>
        </w:rPr>
        <w:t xml:space="preserve">这份指引意在堵上2025年12月规则留下的灰色地带——彼时的规则允许H200芯片对华出口,同时维持对更先进型号的管制,但并未明确界定“中国实体”在马来西亚等第三国的子公司是否同样受限。一年间,据业内估算,有“数十万颗”先进芯片可能流向了与中国关联的东南亚数据中心。出口管制专家克里斯·麦圭尔(Chris</w:t>
      </w:r>
      <w:r>
        <w:t xml:space="preserve"> </w:t>
      </w:r>
      <w:r>
        <w:rPr>
          <w:rFonts w:hint="eastAsia"/>
        </w:rPr>
        <w:t xml:space="preserve">McGuire)的解读直白:“这份指引已经把事情说清楚——把Blackwell发给中资在中国境外的总部公司,如今再次属于违法。”</w:t>
      </w:r>
    </w:p>
    <w:p>
      <w:pPr>
        <w:pStyle w:val="BodyText"/>
      </w:pPr>
      <w:r>
        <w:rPr>
          <w:rFonts w:hint="eastAsia"/>
        </w:rPr>
        <w:t xml:space="preserve">该规则填补的另一个空缺,是5月2025年起特朗普政府以政策选择不执行“AI</w:t>
      </w:r>
      <w:r>
        <w:t xml:space="preserve"> Diffusion </w:t>
      </w:r>
      <w:r>
        <w:rPr>
          <w:rFonts w:hint="eastAsia"/>
        </w:rPr>
        <w:t xml:space="preserve">Rule”造成的窗口期——那段时间内,中资海外实体几乎可以在无许可状态下采购高端GPU。半岛电视台署名记者约翰·鲍尔(John</w:t>
      </w:r>
      <w:r>
        <w:t xml:space="preserve"> </w:t>
      </w:r>
      <w:r>
        <w:rPr>
          <w:rFonts w:hint="eastAsia"/>
        </w:rPr>
        <w:t xml:space="preserve">Power)的报道指出,BIS对“是否需要许可证”问题的官方回答仅有三个字:“答案是肯定的。”</w:t>
      </w:r>
    </w:p>
    <w:p>
      <w:pPr>
        <w:pStyle w:val="BodyText"/>
      </w:pPr>
      <w:r>
        <w:rPr>
          <w:b/>
          <w:bCs/>
        </w:rPr>
        <w:t xml:space="preserve">References</w:t>
      </w:r>
    </w:p>
    <w:p>
      <w:pPr>
        <w:pStyle w:val="BodyText"/>
      </w:pPr>
      <w:r>
        <w:t xml:space="preserve">[18] Power, J. (2026, June 1). US says ban on AI chip shipments applies to Chinese firms outside China. Al Jazeera. https://www.aljazeera.com/economy/2026/6/1/us-says-ban-on-ai-chip-shipments-applies-to-chinese-firms-outside-china</w:t>
      </w:r>
      <w:r>
        <w:t xml:space="preserve"> </w:t>
      </w:r>
      <w:r>
        <w:t xml:space="preserve">[19] Leswing, K. (2026, May 31). U.S. takes step to halt Nvidia AI chip shipments to Chinese firms outside China. CNBC. https://www.cnbc.com/2026/05/31/us-takes-step-to-halt-nvidia-ai-chip-shipments-to-chinese-firms-outside-china.html</w:t>
      </w:r>
    </w:p>
    <w:p>
      <w:r>
        <w:pict>
          <v:rect style="width:0;height:1.5pt" o:hralign="center" o:hrstd="t" o:hr="t"/>
        </w:pict>
      </w:r>
    </w:p>
    <w:bookmarkEnd w:id="18"/>
    <w:bookmarkStart w:id="19" w:name="博通财报营收创纪录但ai指引令市场失望股价单日跌1215"/>
    <w:p>
      <w:pPr>
        <w:pStyle w:val="Heading3"/>
      </w:pPr>
      <w:r>
        <w:rPr>
          <w:rFonts w:hint="eastAsia"/>
        </w:rPr>
        <w:t xml:space="preserve">博通财报营收创纪录但AI指引令市场失望,股价单日跌12–15%</w:t>
      </w:r>
    </w:p>
    <w:p>
      <w:pPr>
        <w:pStyle w:val="FirstParagraph"/>
      </w:pPr>
      <w:r>
        <w:rPr>
          <w:rFonts w:hint="eastAsia"/>
        </w:rPr>
        <w:t xml:space="preserve">博通(AVGO)6月3日盘后发布FY2026第二财季(截至5月3日)业绩,营收221.9亿美元,同比增长48%(去年同期150亿美元),略低于市场一致预期的222.7亿美元;非GAAP摊薄每股收益2.44美元,优于2.40美元的预估。GAAP净利润93.1亿美元,经调整EBITDA为152.4亿美元,占营收69%;自由现金流102.6亿美元,占营收46%。公司宣布维持每股0.65美元的季度股息。</w:t>
      </w:r>
    </w:p>
    <w:p>
      <w:pPr>
        <w:pStyle w:val="BodyText"/>
      </w:pPr>
      <w:r>
        <w:rPr>
          <w:rFonts w:hint="eastAsia"/>
        </w:rPr>
        <w:t xml:space="preserve">但市场关注焦点已不再是beat与miss,而在AI业务的边际节奏。Q2半导体AI营收108亿美元,同比暴增143%。第三财季营收指引约294亿美元,同比+84%,其中AI芯片业务预期同比增长超过200%,达到160亿美元。问题在于“160亿”对一致预期(部分卖方“耳语数字”接近172亿)而言属于轻微低于预期。CEO胡克·谭(Hock</w:t>
      </w:r>
      <w:r>
        <w:t xml:space="preserve"> </w:t>
      </w:r>
      <w:r>
        <w:rPr>
          <w:rFonts w:hint="eastAsia"/>
        </w:rPr>
        <w:t xml:space="preserve">Tan)同时拒绝上调全年AI芯片收入目标——这一目标仍被市场理解在约1000亿美元区间。</w:t>
      </w:r>
    </w:p>
    <w:p>
      <w:pPr>
        <w:pStyle w:val="BodyText"/>
      </w:pPr>
      <w:r>
        <w:rPr>
          <w:rFonts w:hint="eastAsia"/>
        </w:rPr>
        <w:t xml:space="preserve">6月4日(周三),AVGO股价大跌约12–15%。自3月底以来,该股已上涨约63%,估值结构高度依赖“AI支出无限加速”叙事。一旦AI业务的环比节奏出现哪怕轻微减速,溢价部分立即被重新定价——这一过程在英伟达此前的高位回调中也曾上演。</w:t>
      </w:r>
    </w:p>
    <w:p>
      <w:pPr>
        <w:pStyle w:val="BodyText"/>
      </w:pPr>
      <w:r>
        <w:rPr>
          <w:b/>
          <w:bCs/>
        </w:rPr>
        <w:t xml:space="preserve">References</w:t>
      </w:r>
    </w:p>
    <w:p>
      <w:pPr>
        <w:pStyle w:val="BodyText"/>
      </w:pPr>
      <w:r>
        <w:t xml:space="preserve">[20] Cox, J. (2026, June 4). Chipmaker equities: Micron, Marvell, Broadcom, Intel. CNBC. https://www.cnbc.com/2026/06/04/chipmaker-equities-micron-marvell-broadcom-intel.html</w:t>
      </w:r>
      <w:r>
        <w:t xml:space="preserve"> </w:t>
      </w:r>
      <w:r>
        <w:t xml:space="preserve">[21] Yahoo Finance Staff. (2026, June 4). Broadcom Q2 2026 earnings: AI chip revenue doubles, stock sinks. Yahoo Finance. https://finance.yahoo.com/markets/stocks/articles/broadcom-q2-2026-earnings-ai-111613207.html</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cms发布medicaid工作要求过渡终规州层面2027年1月前全面落地"/>
    <w:p>
      <w:pPr>
        <w:pStyle w:val="Heading3"/>
      </w:pPr>
      <w:r>
        <w:rPr>
          <w:rFonts w:hint="eastAsia"/>
        </w:rPr>
        <w:t xml:space="preserve">CMS发布Medicaid工作要求过渡终规,州层面2027年1月前全面落地</w:t>
      </w:r>
    </w:p>
    <w:p>
      <w:pPr>
        <w:pStyle w:val="FirstParagraph"/>
      </w:pPr>
      <w:r>
        <w:rPr>
          <w:rFonts w:hint="eastAsia"/>
        </w:rPr>
        <w:t xml:space="preserve">医疗保险与医疗补助服务中心(CMS)6月1日发布临时终规,落实《一项大美丽法案》(OBBBA,2025年7月4日签署)第5101条规定的Medicaid“社区参与”(即工作要求)制度。规则要求绝大多数19至64岁、非孕妇、未参加Medicare的Medicaid成年受益人每月至少完成80小时合资格活动——可由工作、就业培训、社区服务或半日制及以上在读教育构成,亦可凭月度收入等额折算(2026年约580美元/月)——作为保持受益资格的条件。规则自7月31日起生效,各州必须最晚在2027年1月1日前完成实施。</w:t>
      </w:r>
    </w:p>
    <w:p>
      <w:pPr>
        <w:pStyle w:val="BodyText"/>
      </w:pPr>
      <w:r>
        <w:rPr>
          <w:rFonts w:hint="eastAsia"/>
        </w:rPr>
        <w:t xml:space="preserve">规则覆盖范围明确:43个已扩展ACA(平价医疗法案)的州全部纳入,加上佐治亚州与威斯康辛州的部分豁免方案。怀孕与产后女性、被认定“医学衰弱”者、看护人员、短期困境者保留豁免空间——但CMS同时收紧了“医学衰弱”的判定标准,这一收紧被广泛认为将增加州层面执行难度。Urban</w:t>
      </w:r>
      <w:r>
        <w:t xml:space="preserve"> </w:t>
      </w:r>
      <w:r>
        <w:rPr>
          <w:rFonts w:hint="eastAsia"/>
        </w:rPr>
        <w:t xml:space="preserve">Institute测算,到2028年将有490万至1010万人因此失去Medicaid覆盖。48家患者组织联署声明反对,认为规则将冲击癌症、慢性病与精神疾病患者的就医连续性。</w:t>
      </w:r>
    </w:p>
    <w:p>
      <w:pPr>
        <w:pStyle w:val="BodyText"/>
      </w:pPr>
      <w:r>
        <w:rPr>
          <w:rFonts w:hint="eastAsia"/>
        </w:rPr>
        <w:t xml:space="preserve">凯撒家庭基金会(KFF)政策分析师珍妮弗·托尔伯特(Jennifer</w:t>
      </w:r>
      <w:r>
        <w:t xml:space="preserve"> </w:t>
      </w:r>
      <w:r>
        <w:rPr>
          <w:rFonts w:hint="eastAsia"/>
        </w:rPr>
        <w:t xml:space="preserve">Tolbert)指出:“允许参与人在一段过渡期内自我证明符合工作要求,可以为部分群体减轻冲击;但特朗普政府采用的更严格的’医学衰弱’定义,对各州实施而言将颇具挑战,可能导致更多人从制度缝隙中跌出、失去覆盖。”</w:t>
      </w:r>
    </w:p>
    <w:p>
      <w:pPr>
        <w:pStyle w:val="BodyText"/>
      </w:pPr>
      <w:r>
        <w:rPr>
          <w:b/>
          <w:bCs/>
        </w:rPr>
        <w:t xml:space="preserve">References</w:t>
      </w:r>
    </w:p>
    <w:p>
      <w:pPr>
        <w:pStyle w:val="BodyText"/>
      </w:pPr>
      <w:r>
        <w:t xml:space="preserve">[22] Centers for Medicare &amp; Medicaid Services. (2026, June 1). CMS launches nationwide framework to implement Medicaid work requirements. Centers for Medicare &amp; Medicaid Services. https://www.cms.gov/newsroom/press-releases/cms-launches-nationwide-framework-implement-medicaid-work-requirements</w:t>
      </w:r>
      <w:r>
        <w:t xml:space="preserve"> </w:t>
      </w:r>
      <w:r>
        <w:t xml:space="preserve">[23] Centers for Medicare &amp; Medicaid Services. (2026, June 1). Medicaid Community Engagement Requirement for Certain Individuals Interim Final Rule with Comment Period (CMS-2454-IFC). Centers for Medicare &amp; Medicaid Services. https://www.cms.gov/newsroom/fact-sheets/medicaid-community-engagement-requirement-certain-individuals-interim-final-rule-comment-period-cms</w:t>
      </w:r>
    </w:p>
    <w:p>
      <w:r>
        <w:pict>
          <v:rect style="width:0;height:1.5pt" o:hralign="center" o:hrstd="t" o:hr="t"/>
        </w:pict>
      </w:r>
    </w:p>
    <w:bookmarkEnd w:id="21"/>
    <w:bookmarkStart w:id="22" w:name="嗜肉螺旋蝇时隔60年重现美国本土得州一三周龄牛犊确诊"/>
    <w:p>
      <w:pPr>
        <w:pStyle w:val="Heading3"/>
      </w:pPr>
      <w:r>
        <w:rPr>
          <w:rFonts w:hint="eastAsia"/>
        </w:rPr>
        <w:t xml:space="preserve">嗜肉螺旋蝇时隔60年重现美国本土,得州一三周龄牛犊确诊</w:t>
      </w:r>
    </w:p>
    <w:p>
      <w:pPr>
        <w:pStyle w:val="FirstParagraph"/>
      </w:pPr>
      <w:r>
        <w:rPr>
          <w:rFonts w:hint="eastAsia"/>
        </w:rPr>
        <w:t xml:space="preserve">美国农业部动植物卫生检验局(USDA</w:t>
      </w:r>
      <w:r>
        <w:t xml:space="preserve"> </w:t>
      </w:r>
      <w:r>
        <w:rPr>
          <w:rFonts w:hint="eastAsia"/>
        </w:rPr>
        <w:t xml:space="preserve">APHIS)6月3日确认,得州扎瓦拉县(Zavala</w:t>
      </w:r>
      <w:r>
        <w:t xml:space="preserve"> </w:t>
      </w:r>
      <w:r>
        <w:rPr>
          <w:rFonts w:hint="eastAsia"/>
        </w:rPr>
        <w:t xml:space="preserve">County)拉普赖尔(La</w:t>
      </w:r>
      <w:r>
        <w:t xml:space="preserve"> </w:t>
      </w:r>
      <w:r>
        <w:rPr>
          <w:rFonts w:hint="eastAsia"/>
        </w:rPr>
        <w:t xml:space="preserve">Pryor)一头三周龄牛犊的脐部检出新世界嗜肉螺旋蝇(New</w:t>
      </w:r>
      <w:r>
        <w:t xml:space="preserve"> World </w:t>
      </w:r>
      <w:r>
        <w:rPr>
          <w:rFonts w:hint="eastAsia"/>
        </w:rPr>
        <w:t xml:space="preserve">Screwworm)幼虫——这是该寄生虫在美国本土约60年来的首次确诊病例,确诊地点距美墨边境不远。得州动物卫生委员会已划定感染区并实施动物移动限制,APHIS在地方启动了无菌昆虫释放(sterile</w:t>
      </w:r>
      <w:r>
        <w:t xml:space="preserve"> insect </w:t>
      </w:r>
      <w:r>
        <w:rPr>
          <w:rFonts w:hint="eastAsia"/>
        </w:rPr>
        <w:t xml:space="preserve">technique,SIT),即定点投放经辐照绝育的雄蝇以阻断本地繁殖链。</w:t>
      </w:r>
    </w:p>
    <w:p>
      <w:pPr>
        <w:pStyle w:val="BodyText"/>
      </w:pPr>
      <w:r>
        <w:rPr>
          <w:rFonts w:hint="eastAsia"/>
        </w:rPr>
        <w:t xml:space="preserve">经济影响是USDA最直接的顾虑。得州牛肉产业年产值约150亿美元,USDA估算,一旦此次入侵在境内站住脚,可能对全州造成约18亿美元损失。美国此前已自2025年5月对墨西哥活牛进口实施限制,以缓解该寄生虫从中美洲北上扩散的压力。农业部长布鲁克·罗林斯(Brooke</w:t>
      </w:r>
      <w:r>
        <w:t xml:space="preserve"> </w:t>
      </w:r>
      <w:r>
        <w:rPr>
          <w:rFonts w:hint="eastAsia"/>
        </w:rPr>
        <w:t xml:space="preserve">Rollins)在声明中说:“只要我们共同努力,遵守动物治疗方案与流动限制指南,我们没有理由相信此次入侵将导致该害虫在我国立足。”</w:t>
      </w:r>
    </w:p>
    <w:p>
      <w:pPr>
        <w:pStyle w:val="BodyText"/>
      </w:pPr>
      <w:r>
        <w:rPr>
          <w:rFonts w:hint="eastAsia"/>
        </w:rPr>
        <w:t xml:space="preserve">行动层面,USDA已为本次响应投入1亿美元,食品药品监督管理局(FDA)同步批准了12款治疗产品。新一代无菌蝇养殖设施分别选址在墨西哥梅塔帕(Metapa)和得州爱丁堡(Edinburg),计划2027年秋投入运行。</w:t>
      </w:r>
    </w:p>
    <w:p>
      <w:pPr>
        <w:pStyle w:val="BodyText"/>
      </w:pPr>
      <w:r>
        <w:rPr>
          <w:b/>
          <w:bCs/>
        </w:rPr>
        <w:t xml:space="preserve">References</w:t>
      </w:r>
    </w:p>
    <w:p>
      <w:pPr>
        <w:pStyle w:val="BodyText"/>
      </w:pPr>
      <w:r>
        <w:t xml:space="preserve">[24] Simpson, S., &amp; Garcia, B. (2026, June 4). Screwworm found in Texas. The Texas Tribune. https://www.texastribune.org/2026/06/04/screwworm-texas-united-states/</w:t>
      </w:r>
      <w:r>
        <w:t xml:space="preserve"> </w:t>
      </w:r>
      <w:r>
        <w:t xml:space="preserve">[25] USDA APHIS. (2026, June 3). USDA Confirms Presence of New World Screwworm in the United States. U.S. Department of Agriculture. https://www.aphis.usda.gov/news/agency-announcements/usda-confirms-presence-new-world-screwworm-united-states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6" w:name="五企业ipo与并购"/>
    <w:p>
      <w:pPr>
        <w:pStyle w:val="Heading2"/>
      </w:pPr>
      <w:r>
        <w:rPr>
          <w:rFonts w:hint="eastAsia"/>
        </w:rPr>
        <w:t xml:space="preserve">五、企业IPO与并购</w:t>
      </w:r>
    </w:p>
    <w:bookmarkStart w:id="24" w:name="anthropic秘密递交s-1估值奔向1万亿美元"/>
    <w:p>
      <w:pPr>
        <w:pStyle w:val="Heading3"/>
      </w:pPr>
      <w:r>
        <w:rPr>
          <w:rFonts w:hint="eastAsia"/>
        </w:rPr>
        <w:t xml:space="preserve">Anthropic秘密递交S-1,估值奔向1万亿美元</w:t>
      </w:r>
    </w:p>
    <w:p>
      <w:pPr>
        <w:pStyle w:val="FirstParagraph"/>
      </w:pPr>
      <w:r>
        <w:rPr>
          <w:rFonts w:hint="eastAsia"/>
        </w:rPr>
        <w:t xml:space="preserve">AI公司Anthropic</w:t>
      </w:r>
      <w:r>
        <w:t xml:space="preserve"> </w:t>
      </w:r>
      <w:r>
        <w:rPr>
          <w:rFonts w:hint="eastAsia"/>
        </w:rPr>
        <w:t xml:space="preserve">6月1日向美国证券交易委员会(SEC)秘密递交Form</w:t>
      </w:r>
      <w:r>
        <w:t xml:space="preserve"> </w:t>
      </w:r>
      <w:r>
        <w:rPr>
          <w:rFonts w:hint="eastAsia"/>
        </w:rPr>
        <w:t xml:space="preserve">S-1草案,正式开启IPO审查程序。一旦定价区间公布,这将成为AI行业有史以来规模最大的公开发行之一,估值有望突破1万亿美元。公司5月刚以965亿美元估值完成650亿美元的H轮融资——领投阵营涵盖Altimeter、Dragoneer、Greenoaks、Sequoia、Capital</w:t>
      </w:r>
      <w:r>
        <w:t xml:space="preserve"> </w:t>
      </w:r>
      <w:r>
        <w:rPr>
          <w:rFonts w:hint="eastAsia"/>
        </w:rPr>
        <w:t xml:space="preserve">Group、Coatue与D1等。</w:t>
      </w:r>
    </w:p>
    <w:p>
      <w:pPr>
        <w:pStyle w:val="BodyText"/>
      </w:pPr>
      <w:r>
        <w:rPr>
          <w:rFonts w:hint="eastAsia"/>
        </w:rPr>
        <w:t xml:space="preserve">驱动估值跃升的是收入端的近乎垂直曲线。Anthropic披露年化收入跑率(ARR)已升至470亿美元,而2025年末仅为90亿美元——半年时间扩张超过五倍,主要由企业级Claude在代码生成与代理式AI(agentic</w:t>
      </w:r>
      <w:r>
        <w:t xml:space="preserve"> </w:t>
      </w:r>
      <w:r>
        <w:rPr>
          <w:rFonts w:hint="eastAsia"/>
        </w:rPr>
        <w:t xml:space="preserve">AI)场景的渗透拉动。横向对照,OpenAI</w:t>
      </w:r>
      <w:r>
        <w:t xml:space="preserve"> </w:t>
      </w:r>
      <w:r>
        <w:rPr>
          <w:rFonts w:hint="eastAsia"/>
        </w:rPr>
        <w:t xml:space="preserve">2026年3月私募轮估值为8520亿美元;Anthropic若以“千亿俱乐部”门票进入公开市场,意味着AI主题在二级市场的稀缺标的格局将出现实质转变。</w:t>
      </w:r>
    </w:p>
    <w:p>
      <w:pPr>
        <w:pStyle w:val="BodyText"/>
      </w:pPr>
      <w:r>
        <w:rPr>
          <w:rFonts w:hint="eastAsia"/>
        </w:rPr>
        <w:t xml:space="preserve">秘密递交意味着SEC将先于公开版本对文件进行审阅,公司可在不暴露详细财务与风险因素的情况下完成预备工作。最终是否启动公开发行、定价区间、股票数量与上市地点,均尚未在此次递交中披露。</w:t>
      </w:r>
    </w:p>
    <w:p>
      <w:pPr>
        <w:pStyle w:val="BodyText"/>
      </w:pPr>
      <w:r>
        <w:rPr>
          <w:b/>
          <w:bCs/>
        </w:rPr>
        <w:t xml:space="preserve">References</w:t>
      </w:r>
    </w:p>
    <w:p>
      <w:pPr>
        <w:pStyle w:val="BodyText"/>
      </w:pPr>
      <w:r>
        <w:t xml:space="preserve">[26] Korosec, K. (2026, June 1). Anthropic files to go public. TechCrunch. https://techcrunch.com/2026/06/01/anthropic-files-to-go-public/</w:t>
      </w:r>
      <w:r>
        <w:t xml:space="preserve"> </w:t>
      </w:r>
      <w:r>
        <w:t xml:space="preserve">[27] Anthropic. (2026, June 1). Anthropic confidentially submits draft S-1 to the SEC. Anthropic. https://www.anthropic.com/news/confidential-draft-s1-sec</w:t>
      </w:r>
    </w:p>
    <w:p>
      <w:r>
        <w:pict>
          <v:rect style="width:0;height:1.5pt" o:hralign="center" o:hrstd="t" o:hr="t"/>
        </w:pict>
      </w:r>
    </w:p>
    <w:bookmarkEnd w:id="24"/>
    <w:bookmarkStart w:id="25" w:name="spacex启动750亿美元ipo路演定价135美元锁定1.77万亿估值"/>
    <w:p>
      <w:pPr>
        <w:pStyle w:val="Heading3"/>
      </w:pPr>
      <w:r>
        <w:rPr>
          <w:rFonts w:hint="eastAsia"/>
        </w:rPr>
        <w:t xml:space="preserve">SpaceX启动750亿美元IPO路演,定价135美元锁定1.77万亿估值</w:t>
      </w:r>
    </w:p>
    <w:p>
      <w:pPr>
        <w:pStyle w:val="FirstParagraph"/>
      </w:pPr>
      <w:r>
        <w:t xml:space="preserve">SpaceX </w:t>
      </w:r>
      <w:r>
        <w:rPr>
          <w:rFonts w:hint="eastAsia"/>
        </w:rPr>
        <w:t xml:space="preserve">6月4日正式启动IPO路演,定价采用一个不常见的“固定单价”模式——每股135美元,不设价格区间、不进行需求探测,直接以这一价格寻求至多750亿美元融资,股票将以代码SPCX在纳斯达克挂牌。按发行价计,公司估值落在1.75万亿至1.77万亿美元区间——超过特斯拉(约1.6万亿美元),将成为美国市值第7大的上市公司。最终定价定于6月11日,6月12日开始交易。</w:t>
      </w:r>
    </w:p>
    <w:p>
      <w:pPr>
        <w:pStyle w:val="BodyText"/>
      </w:pPr>
      <w:r>
        <w:rPr>
          <w:rFonts w:hint="eastAsia"/>
        </w:rPr>
        <w:t xml:space="preserve">发行结构上,公司提供1480万至1850万股,其中约628亿美元(占78%)已通过预承购形式锁定给内部人、供应商与债权人。零售投资者最多可分得30%份额,Fidelity向账户余额≥2000美元的散户开放申购通道。日本同步发行规模上调25%至25亿美元。马斯克(Musk)通过B类股保留82%表决权(对应42%经济权益),投票权壁垒在上市后将原样延续。</w:t>
      </w:r>
    </w:p>
    <w:p>
      <w:pPr>
        <w:pStyle w:val="BodyText"/>
      </w:pPr>
      <w:r>
        <w:rPr>
          <w:rFonts w:hint="eastAsia"/>
        </w:rPr>
        <w:t xml:space="preserve">S-1/A第二份修订稿披露的运营数据显示,SpaceX自2002年成立以来累计向轨道送入约7400吨载荷,完成约650次轨道发射,任务成功率超过99%。但估值争议同样激烈——晨星(Morningstar)分析师尼古拉斯·欧文斯(Nicolas</w:t>
      </w:r>
      <w:r>
        <w:t xml:space="preserve"> </w:t>
      </w:r>
      <w:r>
        <w:rPr>
          <w:rFonts w:hint="eastAsia"/>
        </w:rPr>
        <w:t xml:space="preserve">Owens)直言定价“严重高估”,他给出的公允价值仅为7800亿美元。New</w:t>
      </w:r>
      <w:r>
        <w:t xml:space="preserve"> </w:t>
      </w:r>
      <w:r>
        <w:rPr>
          <w:rFonts w:hint="eastAsia"/>
        </w:rPr>
        <w:t xml:space="preserve">Constructs的大卫·特雷纳(David</w:t>
      </w:r>
      <w:r>
        <w:t xml:space="preserve"> </w:t>
      </w:r>
      <w:r>
        <w:rPr>
          <w:rFonts w:hint="eastAsia"/>
        </w:rPr>
        <w:t xml:space="preserve">Trainer)的测算更尖锐:要兑现135美元发行价对应的估值,SpaceX需要在2035年实现约1.1万亿美元年收入。同期可比的xAI,在2025年录得63.5亿美元运营亏损,凸显马斯克AI/航天矩阵盈利节奏的不确定性。</w:t>
      </w:r>
    </w:p>
    <w:p>
      <w:pPr>
        <w:pStyle w:val="BodyText"/>
      </w:pPr>
      <w:r>
        <w:rPr>
          <w:b/>
          <w:bCs/>
        </w:rPr>
        <w:t xml:space="preserve">References</w:t>
      </w:r>
    </w:p>
    <w:p>
      <w:pPr>
        <w:pStyle w:val="BodyText"/>
      </w:pPr>
      <w:r>
        <w:t xml:space="preserve">[28] Sheetz, M. (2026, June 3). SpaceX targets fixed $135 IPO price for roadshow, source says. CNBC. https://www.cnbc.com/2026/06/03/spacex-ipo-stock-price-roadshow-musk.html</w:t>
      </w:r>
      <w:r>
        <w:t xml:space="preserve"> </w:t>
      </w:r>
      <w:r>
        <w:t xml:space="preserve">[29] Reuters Staff. (2026, June 4). Exclusive: SpaceX tells banks it won’t move its $135-a-share IPO price. U.S. News &amp; World Report. https://www.usnews.com/news/top-news/articles/2026-06-04/exclusive-spacex-tells-banks-it-wont-move-its-135-a-share-ipo-price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Start w:id="27"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2026-06-05T12:48:28Z</dcterms:created>
  <dcterms:modified xsi:type="dcterms:W3CDTF">2026-06-05T12:48:28Z</dcterms:modified>
</cp:coreProperties>
</file>

<file path=docProps/custom.xml><?xml version="1.0" encoding="utf-8"?>
<Properties xmlns="http://schemas.openxmlformats.org/officeDocument/2006/custom-properties" xmlns:vt="http://schemas.openxmlformats.org/officeDocument/2006/docPropsVTypes"/>
</file>