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6月15日"/>
    <w:p>
      <w:pPr>
        <w:pStyle w:val="Heading1"/>
      </w:pPr>
      <w:r>
        <w:rPr>
          <w:rFonts w:hint="eastAsia"/>
        </w:rPr>
        <w:t xml:space="preserve">中国每日热点新闻</w:t>
      </w:r>
      <w:r>
        <w:t xml:space="preserve"> — </w:t>
      </w:r>
      <w:r>
        <w:rPr>
          <w:rFonts w:hint="eastAsia"/>
        </w:rPr>
        <w:t xml:space="preserve">2026年6月15日</w:t>
      </w:r>
    </w:p>
    <w:bookmarkStart w:id="10" w:name="一经济与市场"/>
    <w:p>
      <w:pPr>
        <w:pStyle w:val="Heading2"/>
      </w:pPr>
      <w:r>
        <w:rPr>
          <w:rFonts w:hint="eastAsia"/>
        </w:rPr>
        <w:t xml:space="preserve">一、经济与市场</w:t>
      </w:r>
    </w:p>
    <w:bookmarkStart w:id="9" w:name="Xc6c350248c87df8965257aa163d1921b41e2e4d"/>
    <w:p>
      <w:pPr>
        <w:pStyle w:val="Heading3"/>
      </w:pPr>
      <w:r>
        <w:rPr>
          <w:rFonts w:hint="eastAsia"/>
        </w:rPr>
        <w:t xml:space="preserve">中国人民银行将美元兑人民币中间价设于6.8088，离岸人民币升至2023年2月以来最强水平</w:t>
      </w:r>
    </w:p>
    <w:p>
      <w:pPr>
        <w:pStyle w:val="FirstParagraph"/>
      </w:pPr>
      <w:r>
        <w:rPr>
          <w:rFonts w:hint="eastAsia"/>
        </w:rPr>
        <w:t xml:space="preserve">中国人民银行6月15日周一将美元兑人民币中间价定于6.8088，较前一交易日的6.8109微幅走强，但比路透社调查的市场预期值6.7544弱出整整544个基点，为央行近期最大幅度的“逆周期”信号之一。离岸人民币(CNH)在亚洲时段于每美元6.75至6.77区间交投，触及2023年2月以来最强水平，年初至今对美元累计升幅已超过3%。</w:t>
      </w:r>
    </w:p>
    <w:p>
      <w:pPr>
        <w:pStyle w:val="BodyText"/>
      </w:pPr>
      <w:r>
        <w:rPr>
          <w:rFonts w:hint="eastAsia"/>
        </w:rPr>
        <w:t xml:space="preserve">市场对中间价的解读集中在央行行长潘功胜身上。潘功胜以七天期逆回购利率、中期借贷便利(MLF)、外汇干预与每日中间价为四大主要政策工具，本次将中间价设在显著强于上日、却弱于市场预期的位置，相当于一边借美元走软之势顺势让人民币升值，一边压住升值斜率，避免离岸价格脱缰。这种“双向调控”在过去十二个月美元指数下行周期中已多次出现，但544个基点的偏离幅度处于年内偏高一端。</w:t>
      </w:r>
    </w:p>
    <w:p>
      <w:pPr>
        <w:pStyle w:val="BodyText"/>
      </w:pPr>
      <w:r>
        <w:rPr>
          <w:rFonts w:hint="eastAsia"/>
        </w:rPr>
        <w:t xml:space="preserve">宏观背景并不支撑过快升值。国家统计局6月9日至10日发布的5月CPI数据显示居民消费价格同比仅上涨1.2%，低于路透社调查的1.3%共识，食品价格同比下跌1.7%，仅交通成本因中东能源供应中断上涨5.4%。生产者价格指数(PPI)同比涨幅加速至3.9%，为近四年新高，远高于4月的2.8%，CPI与PPI走势背离反映内需偏弱、上游价格被国际能源推升的局面并未缓解。</w:t>
      </w:r>
    </w:p>
    <w:p>
      <w:pPr>
        <w:pStyle w:val="BodyText"/>
      </w:pPr>
      <w:r>
        <w:rPr>
          <w:rFonts w:hint="eastAsia"/>
        </w:rPr>
        <w:t xml:space="preserve">下一关键节点是6月16日公布的5月规模以上工业增加值、固定资产投资与社会消费品零售总额。路透社共识预计零售销售同比将由4月的+0.2%反弹至+1.1%。若数据低于预期，人民币的升值惯性可能在外汇盘面遭遇内需面的对冲，央行的中间价工具也将面临新的取舍。</w:t>
      </w:r>
    </w:p>
    <w:p>
      <w:pPr>
        <w:pStyle w:val="BodyText"/>
      </w:pPr>
      <w:r>
        <w:rPr>
          <w:b/>
          <w:bCs/>
        </w:rPr>
        <w:t xml:space="preserve">References</w:t>
      </w:r>
    </w:p>
    <w:p>
      <w:pPr>
        <w:pStyle w:val="BodyText"/>
      </w:pPr>
      <w:r>
        <w:t xml:space="preserve">[1] Leggero, S. (2026, June 15). PBOC supports yuan as daily reference rate trends lower. Tradingpedia. https://www.tradingpedia.com/2026/06/15/pboc-supports-yuan-as-daily-reference-rate-trends-lower/</w:t>
      </w:r>
      <w:r>
        <w:t xml:space="preserve"> </w:t>
      </w:r>
      <w:r>
        <w:t xml:space="preserve">[2] investingLive. (2026, June 15). PBOC is expected to set the USD/CNY reference rate at 6.7544 – Reuters estimate. investingLive. https://investinglive.com/centralbank/pboc-is-expected-to-set-the-usdcny-reference-rate-at-67544-reuters-estimate-20260615/</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2" w:name="二政治与外交"/>
    <w:p>
      <w:pPr>
        <w:pStyle w:val="Heading2"/>
      </w:pPr>
      <w:r>
        <w:rPr>
          <w:rFonts w:hint="eastAsia"/>
        </w:rPr>
        <w:t xml:space="preserve">二、政治与外交</w:t>
      </w:r>
    </w:p>
    <w:bookmarkStart w:id="11" w:name="缅甸总统敏昂莱抵京展开五天国事访问缅北停火与皎漂港列入议程"/>
    <w:p>
      <w:pPr>
        <w:pStyle w:val="Heading3"/>
      </w:pPr>
      <w:r>
        <w:rPr>
          <w:rFonts w:hint="eastAsia"/>
        </w:rPr>
        <w:t xml:space="preserve">缅甸总统敏昂莱抵京展开五天国事访问，缅北停火与皎漂港列入议程</w:t>
      </w:r>
    </w:p>
    <w:p>
      <w:pPr>
        <w:pStyle w:val="FirstParagraph"/>
      </w:pPr>
      <w:r>
        <w:rPr>
          <w:rFonts w:hint="eastAsia"/>
        </w:rPr>
        <w:t xml:space="preserve">缅甸总统敏昂莱6月15日周一抵达北京，开启为期五天、至6月19日结束的国事访问，应中国国家主席习近平邀请到访。这是这位69岁的缅甸领导人自4月初被缅甸议会选举为总统以来的第二次海外出访，距其前往印度仅两周。敏昂莱2021年2月发动军事政变推翻民选政府后，长期以国家管理委员会主席身份执政，本次以“总统”身份首次访华具有礼宾意义上的升级。</w:t>
      </w:r>
    </w:p>
    <w:p>
      <w:pPr>
        <w:pStyle w:val="BodyText"/>
      </w:pPr>
      <w:r>
        <w:rPr>
          <w:rFonts w:hint="eastAsia"/>
        </w:rPr>
        <w:t xml:space="preserve">议程的经济一翼围绕中缅经济走廊(CMEC)与“一带一路”倡议展开，重点项目包括位于若开邦的皎漂深水港，以及多次因北部战事关闭的边境贸易口岸与跨境铁路的复通。中方此前已多次表示希望确保通往云南省的油气管道与北部边境贸易通道安全运行。除习近平外，国务院总理李强、全国人大常委会委员长赵乐际将分别与敏昂莱举行会见。</w:t>
      </w:r>
    </w:p>
    <w:p>
      <w:pPr>
        <w:pStyle w:val="BodyText"/>
      </w:pPr>
      <w:r>
        <w:rPr>
          <w:rFonts w:hint="eastAsia"/>
        </w:rPr>
        <w:t xml:space="preserve">议程的政治一翼绕不开中国对缅北民族地方武装的影响力。日经亚洲6月15日刊文分析，两国领导人预计将讨论中国对北部边境沿线武装组织的影响力，缅方可能寻求北京协助强制执行停火，以阻止军政府在战场上持续丢失辖区。过去两年，“三兄弟联盟”等武装在北部边境一线对军政府辖区构成持续压力，相关战线的进退与北京的斡旋立场密切相关。</w:t>
      </w:r>
    </w:p>
    <w:p>
      <w:pPr>
        <w:pStyle w:val="BodyText"/>
      </w:pPr>
      <w:r>
        <w:rPr>
          <w:rFonts w:hint="eastAsia"/>
        </w:rPr>
        <w:t xml:space="preserve">更敏感的背景是中方近期的执法动作。中国6月3日在昆明机场以涉嫌从事间谍活动为由拘留美籍缅甸学者敏辛，他是缅甸智库“战略与政策研究所”(Institute</w:t>
      </w:r>
      <w:r>
        <w:t xml:space="preserve"> for Strategy and </w:t>
      </w:r>
      <w:r>
        <w:rPr>
          <w:rFonts w:hint="eastAsia"/>
        </w:rPr>
        <w:t xml:space="preserve">Policy–Myanmar)的执行所长。中国外交部6月12日确认相关拘留，时间点与本次访问紧密相连，被外界解读为北京在外交斡旋与执法主权之间设定的边界示范。</w:t>
      </w:r>
    </w:p>
    <w:p>
      <w:pPr>
        <w:pStyle w:val="BodyText"/>
      </w:pPr>
      <w:r>
        <w:rPr>
          <w:b/>
          <w:bCs/>
        </w:rPr>
        <w:t xml:space="preserve">References</w:t>
      </w:r>
    </w:p>
    <w:p>
      <w:pPr>
        <w:pStyle w:val="BodyText"/>
      </w:pPr>
      <w:r>
        <w:t xml:space="preserve">[3] Reuters. (2026, June 15). Myanmar president arrives in Beijing for state visit. Arab News. https://www.arabnews.com/node/2647212/world</w:t>
      </w:r>
      <w:r>
        <w:t xml:space="preserve"> </w:t>
      </w:r>
      <w:r>
        <w:t xml:space="preserve">[4] Nikkei Asia. (2026, June 15). Myanmar’s Min Aung Hlaing to visit China for diplomatic boost. Nikkei Asia. https://asia.nikkei.com/spotlight/myanmar-crisis/myanmar-s-min-aung-hlaing-to-visit-china-for-diplomatic-boost</w:t>
      </w:r>
      <w:r>
        <w:t xml:space="preserve"> </w:t>
      </w:r>
      <w:r>
        <w:t xml:space="preserve">[5] CGTN. (2026, June 12). China-Myanmar Ties: Beijing says Myanmar president’s state visit to boost traditional ties. CGTN. https://news.cgtn.com/news/2026-06-12/VHJhbnNjcmlwdDkxMDU1/index.html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1"/>
    <w:bookmarkEnd w:id="12"/>
    <w:bookmarkStart w:id="13"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3"/>
    <w:bookmarkStart w:id="15" w:name="四社会与民生"/>
    <w:p>
      <w:pPr>
        <w:pStyle w:val="Heading2"/>
      </w:pPr>
      <w:r>
        <w:rPr>
          <w:rFonts w:hint="eastAsia"/>
        </w:rPr>
        <w:t xml:space="preserve">四、社会与民生</w:t>
      </w:r>
    </w:p>
    <w:bookmarkStart w:id="14" w:name="国家市场监督管理总局约谈美国沃尔玛中国剑指山姆会员店食品安全连环风险"/>
    <w:p>
      <w:pPr>
        <w:pStyle w:val="Heading3"/>
      </w:pPr>
      <w:r>
        <w:rPr>
          <w:rFonts w:hint="eastAsia"/>
        </w:rPr>
        <w:t xml:space="preserve">国家市场监督管理总局约谈美国沃尔玛中国，剑指山姆会员店食品安全连环风险</w:t>
      </w:r>
    </w:p>
    <w:p>
      <w:pPr>
        <w:pStyle w:val="FirstParagraph"/>
      </w:pPr>
      <w:r>
        <w:rPr>
          <w:rFonts w:hint="eastAsia"/>
        </w:rPr>
        <w:t xml:space="preserve">国家市场监督管理总局6月15日依法约谈沃尔玛(中国)投资有限公司，要求其就旗下山姆会员店(Sam’s</w:t>
      </w:r>
      <w:r>
        <w:t xml:space="preserve"> </w:t>
      </w:r>
      <w:r>
        <w:rPr>
          <w:rFonts w:hint="eastAsia"/>
        </w:rPr>
        <w:t xml:space="preserve">Club)线下门店及线上业务反复出现的食品安全问题作出全面整改。这是中国监管机构对在华外资连锁零售商今年以来最高规格的一次正式问询，沃尔玛中国为山姆会员店在华总部，目前在中国境内运营63家门店，2025年交易量录得两位数增长。</w:t>
      </w:r>
    </w:p>
    <w:p>
      <w:pPr>
        <w:pStyle w:val="BodyText"/>
      </w:pPr>
      <w:r>
        <w:rPr>
          <w:rFonts w:hint="eastAsia"/>
        </w:rPr>
        <w:t xml:space="preserve">监管层面的指控并非孤立事件。过去一年，山姆会员店在中国多地门店连续被消费者及媒体曝出食品卫生瑕疵，包括在生鲜与即食食品中发现鼠迹与活虫的报告，部分案例由地方监管部门处置后并未阻止类似情况在其他门店重现。市场监管总局此次以“约谈”形式介入，相当于将此前散点式的地方执法升级为针对企业全国总部的合规问责。</w:t>
      </w:r>
    </w:p>
    <w:p>
      <w:pPr>
        <w:pStyle w:val="BodyText"/>
      </w:pPr>
      <w:r>
        <w:rPr>
          <w:rFonts w:hint="eastAsia"/>
        </w:rPr>
        <w:t xml:space="preserve">总局在通报中要求沃尔玛中国“严格落实食品安全主体责任，履行企业社会责任，防范全链条食品安全风险，切实保障人民群众饮食安全”。这一表述将责任主体由门店层面上推至投资公司层面，并把“全链条”——即从供应商到中央厨房、再到门店冷链——纳入合规要求，意味着会员制仓储业态特有的高周转、大包装、自有品牌(Member’s</w:t>
      </w:r>
      <w:r>
        <w:t xml:space="preserve"> </w:t>
      </w:r>
      <w:r>
        <w:rPr>
          <w:rFonts w:hint="eastAsia"/>
        </w:rPr>
        <w:t xml:space="preserve">Mark)模式将面临系统性审视。</w:t>
      </w:r>
    </w:p>
    <w:p>
      <w:pPr>
        <w:pStyle w:val="BodyText"/>
      </w:pPr>
      <w:r>
        <w:rPr>
          <w:rFonts w:hint="eastAsia"/>
        </w:rPr>
        <w:t xml:space="preserve">山姆会员店中国回应称将定期向监管部门报告整改进度并主动接受监督。在中国零售业线下普遍承压的背景下，山姆会员店是少数仍保持两位数增长的渠道，其会员制门槛与中产消费者粘性使其成为沃尔玛全球最重要的增长引擎之一。本次约谈如果触发门店关停、商品下架或会员退费，将直接影响沃尔玛在中国市场的同店增长节奏。</w:t>
      </w:r>
    </w:p>
    <w:p>
      <w:pPr>
        <w:pStyle w:val="BodyText"/>
      </w:pPr>
      <w:r>
        <w:rPr>
          <w:b/>
          <w:bCs/>
        </w:rPr>
        <w:t xml:space="preserve">References</w:t>
      </w:r>
    </w:p>
    <w:p>
      <w:pPr>
        <w:pStyle w:val="BodyText"/>
      </w:pPr>
      <w:r>
        <w:t xml:space="preserve">[6] Lee, L. (2026, June 15). China’s regulator summons Walmart over food safety issues. Reuters / Yahoo Finance. https://ca.finance.yahoo.com/news/chinas-regulator-summons-walmart-over-032122791.html</w:t>
      </w:r>
      <w:r>
        <w:t xml:space="preserve"> </w:t>
      </w:r>
      <w:r>
        <w:t xml:space="preserve">[7] Reuters. (2026, June 15). Chinese regulator tells Walmart to stamp out food safety risks. TradingView (Reuters). https://www.tradingview.com/news/reuters.com,2026:newsml_L1N42N039:0-chinese-regulator-tells-walmart-to-stamp-out-food-safety-risks/</w:t>
      </w:r>
      <w:r>
        <w:t xml:space="preserve"> </w:t>
      </w:r>
      <w:r>
        <w:t xml:space="preserve">[8] Global Times. (2026, June 15). China’s market regulator summons Sam’s Club headquarters over repeated food safety violations. Global Times. https://www.globaltimes.cn/page/202606/1363567.shtml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7" w:name="五海外涉华财经"/>
    <w:p>
      <w:pPr>
        <w:pStyle w:val="Heading2"/>
      </w:pPr>
      <w:r>
        <w:rPr>
          <w:rFonts w:hint="eastAsia"/>
        </w:rPr>
        <w:t xml:space="preserve">五、海外涉华财经</w:t>
      </w:r>
    </w:p>
    <w:bookmarkStart w:id="16" w:name="g7埃维昂峰会开幕中国工业产能过剩成核心议题"/>
    <w:p>
      <w:pPr>
        <w:pStyle w:val="Heading3"/>
      </w:pPr>
      <w:r>
        <w:rPr>
          <w:rFonts w:hint="eastAsia"/>
        </w:rPr>
        <w:t xml:space="preserve">G7埃维昂峰会开幕，中国工业产能过剩成核心议题</w:t>
      </w:r>
    </w:p>
    <w:p>
      <w:pPr>
        <w:pStyle w:val="FirstParagraph"/>
      </w:pPr>
      <w:r>
        <w:rPr>
          <w:rFonts w:hint="eastAsia"/>
        </w:rPr>
        <w:t xml:space="preserve">第52届七国集团(G7)峰会6月15日周一在法国埃维昂莱班(Évian-les-Bains)开幕，会期至6月17日，由担任2026年G7轮值主席国的法国主办。加拿大、法国、德国、意大利、日本、英国、美国领导人及欧盟代表与会，巴西、印度、肯尼亚、韩国与叙利亚获邀作为外延参与方。G7成员经济体合计年度GDP超过50万亿美元，本届议程将中国工业产能过剩、关键矿产供应多元化、中东冲突与霍尔木兹海峡安全并列为核心。</w:t>
      </w:r>
    </w:p>
    <w:p>
      <w:pPr>
        <w:pStyle w:val="BodyText"/>
      </w:pPr>
      <w:r>
        <w:rPr>
          <w:rFonts w:hint="eastAsia"/>
        </w:rPr>
        <w:t xml:space="preserve">法国G7轮值主席方为本届贸易议程定下基调，公开将全球失衡概括为“中国生产过多，美国消费过多，欧洲投资过少”。法国财政部长罗兰·莱斯库尔在峰会前夕直言此种格局“不可持续”，并表示“必须停止”。这种由欧洲核心成员主导对华措辞、而非由美方率先施压的安排，使G7此次的对华表态更接近“集体立场”，而非单边贸易摩擦的延伸。</w:t>
      </w:r>
    </w:p>
    <w:p>
      <w:pPr>
        <w:pStyle w:val="BodyText"/>
      </w:pPr>
      <w:r>
        <w:rPr>
          <w:rFonts w:hint="eastAsia"/>
        </w:rPr>
        <w:t xml:space="preserve">经济议题之外，6月11日法国总统马克龙曾召开峰会前视频会议，邀请中国国务院副总理张国清等代表与会沟通。中方此后重申对单边加征关税“坚决反对”的立场，为埃维昂峰会三天议程划出明确的红线。据大西洋理事会(Atlantic</w:t>
      </w:r>
      <w:r>
        <w:t xml:space="preserve"> </w:t>
      </w:r>
      <w:r>
        <w:rPr>
          <w:rFonts w:hint="eastAsia"/>
        </w:rPr>
        <w:t xml:space="preserve">Council)评估，本届会议的贸易子议题主要聚焦于抑制工业产能过剩与强化供应链韧性等方向。</w:t>
      </w:r>
    </w:p>
    <w:p>
      <w:pPr>
        <w:pStyle w:val="BodyText"/>
      </w:pPr>
      <w:r>
        <w:rPr>
          <w:rFonts w:hint="eastAsia"/>
        </w:rPr>
        <w:t xml:space="preserve">对中国的现实影响有两条传导链。一是G7若就关键矿产、电动汽车、太阳能组件等领域达成“平行执法机制”，将在欧盟反补贴调查与美国301条款之外形成第三道合规屏障；二是埃维昂宣言中如出现针对“非市场行为”的具体名单或时间表，将直接影响欧洲对中国产业政策的关税立法窗口。峰会公报预定6月17日发布。</w:t>
      </w:r>
    </w:p>
    <w:p>
      <w:pPr>
        <w:pStyle w:val="BodyText"/>
      </w:pPr>
      <w:r>
        <w:rPr>
          <w:b/>
          <w:bCs/>
        </w:rPr>
        <w:t xml:space="preserve">References</w:t>
      </w:r>
    </w:p>
    <w:p>
      <w:pPr>
        <w:pStyle w:val="BodyText"/>
      </w:pPr>
      <w:r>
        <w:t xml:space="preserve">[9] Reuters. (2026, June 15). Explainer-What is the G7 and what’s on the agenda at the Evian-les-Bains summit. Investing.com. https://www.investing.com/news/economic-indicators/explainerwhat-is-the-g7-and-whats-on-the-agenda-at-the-evianlesbains-summit-4741159</w:t>
      </w:r>
      <w:r>
        <w:t xml:space="preserve"> </w:t>
      </w:r>
      <w:r>
        <w:t xml:space="preserve">[10] Modern Diplomacy. (2026, June 15). Why the 2026 G7 Summit Could Redefine Western Leadership. Modern Diplomacy. https://moderndiplomacy.eu/2026/06/15/why-the-2026-g7-summit-could-redefine-western-leadership/</w:t>
      </w:r>
      <w:r>
        <w:t xml:space="preserve"> </w:t>
      </w:r>
      <w:r>
        <w:t xml:space="preserve">[11] Atlantic Council. (2026, June 13). Seven charts that will define France’s G7 summit. Atlantic Council. https://www.atlanticcouncil.org/dispatches/seven-charts-that-will-define-frances-g7-summit/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18" w:name="六企业ipo与并购"/>
    <w:p>
      <w:pPr>
        <w:pStyle w:val="Heading2"/>
      </w:pPr>
      <w:r>
        <w:rPr>
          <w:rFonts w:hint="eastAsia"/>
        </w:rPr>
        <w:t xml:space="preserve">六、企业IPO与并购</w:t>
      </w:r>
    </w:p>
    <w:p>
      <w:pPr>
        <w:pStyle w:val="BlockText"/>
      </w:pPr>
      <w:r>
        <w:rPr>
          <w:rFonts w:hint="eastAsia"/>
        </w:rPr>
        <w:t xml:space="preserve">本日无符合本简报标准的相关报道。</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8"/>
    <w:bookmarkStart w:id="19" w:name="七其他重要事件"/>
    <w:p>
      <w:pPr>
        <w:pStyle w:val="Heading2"/>
      </w:pPr>
      <w:r>
        <w:rPr>
          <w:rFonts w:hint="eastAsia"/>
        </w:rPr>
        <w:t xml:space="preserve">七、其他重要事件</w:t>
      </w:r>
    </w:p>
    <w:p>
      <w:pPr>
        <w:pStyle w:val="BlockText"/>
      </w:pPr>
      <w:r>
        <w:rPr>
          <w:rFonts w:hint="eastAsia"/>
        </w:rPr>
        <w:t xml:space="preserve">本日无符合本简报标准的相关报道。</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2026-06-15T08:40:09Z</dcterms:created>
  <dcterms:modified xsi:type="dcterms:W3CDTF">2026-06-15T08:40:09Z</dcterms:modified>
</cp:coreProperties>
</file>

<file path=docProps/custom.xml><?xml version="1.0" encoding="utf-8"?>
<Properties xmlns="http://schemas.openxmlformats.org/officeDocument/2006/custom-properties" xmlns:vt="http://schemas.openxmlformats.org/officeDocument/2006/docPropsVTypes"/>
</file>