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75bf7b9135160b2edea39d00c4c7ab854a6908d"/>
    <w:p>
      <w:pPr>
        <w:pStyle w:val="Heading1"/>
      </w:pPr>
      <w:r>
        <w:t xml:space="preserve">United Kingdom Daily News Intelligence — June 22, 2026</w:t>
      </w:r>
    </w:p>
    <w:bookmarkStart w:id="12" w:name="economy-markets"/>
    <w:p>
      <w:pPr>
        <w:pStyle w:val="Heading2"/>
      </w:pPr>
      <w:r>
        <w:t xml:space="preserve">1. Economy &amp; Markets</w:t>
      </w:r>
    </w:p>
    <w:bookmarkStart w:id="9" w:name="X320fa4357e59a02c7e1c0e2fa9b47f701374406"/>
    <w:p>
      <w:pPr>
        <w:pStyle w:val="Heading3"/>
      </w:pPr>
      <w:r>
        <w:t xml:space="preserve">Bank of England scraps stablecoin holding caps, sets £40 billion issuance guardrail</w:t>
      </w:r>
    </w:p>
    <w:p>
      <w:pPr>
        <w:pStyle w:val="FirstParagraph"/>
      </w:pPr>
      <w:r>
        <w:t xml:space="preserve">The Bank of England abandoned its proposed £20,000 retail and £10 million corporate caps on individual stablecoin holdings on 22 June 2026, replacing them with a single</w:t>
      </w:r>
      <w:r>
        <w:t xml:space="preserve"> </w:t>
      </w:r>
      <w:r>
        <w:t xml:space="preserve">“temporary issuance guardrail”</w:t>
      </w:r>
      <w:r>
        <w:t xml:space="preserve"> </w:t>
      </w:r>
      <w:r>
        <w:t xml:space="preserve">that limits each systemic sterling stablecoin to £40 billion ($52.8 billion) in total issuance. The reversal lands in the Policy Statement and draft Code of Practice the central bank published the same day, and it walks back the most contested element of the consultation it opened in November 2025.</w:t>
      </w:r>
    </w:p>
    <w:p>
      <w:pPr>
        <w:pStyle w:val="BodyText"/>
      </w:pPr>
      <w:r>
        <w:t xml:space="preserve">Industry had told the Bank the per-person caps would be costly and unworkable, and warned that the UK risked writing stricter rules than the United States or the European Union for a market that barely exists yet. The Bank conceded the point: the issuance ceiling, it argued, delivers the same financial-stability outcome more cheaply while leaving households and businesses free to hold as much as they like. The framework also loosens reserve rules, letting issuers hold up to 70% of backing assets in short-term government debt, up from 60%, with the rest sitting in non-interest-bearing deposits at the Bank to guarantee redemption at par.</w:t>
      </w:r>
    </w:p>
    <w:p>
      <w:pPr>
        <w:pStyle w:val="BodyText"/>
      </w:pPr>
      <w:r>
        <w:t xml:space="preserve">Deputy Governor for Financial Stability Sarah Breeden said the package marks</w:t>
      </w:r>
      <w:r>
        <w:t xml:space="preserve"> </w:t>
      </w:r>
      <w:r>
        <w:t xml:space="preserve">“a major milestone in delivering greater choice and innovation in UK payments.”</w:t>
      </w:r>
      <w:r>
        <w:t xml:space="preserve"> </w:t>
      </w:r>
      <w:r>
        <w:t xml:space="preserve">Not everyone was satisfied. ClearBank Group chief executive Mark Fairless said the regime</w:t>
      </w:r>
      <w:r>
        <w:t xml:space="preserve"> </w:t>
      </w:r>
      <w:r>
        <w:t xml:space="preserve">“still remains the most cautious, the most conservative regime in the world,”</w:t>
      </w:r>
      <w:r>
        <w:t xml:space="preserve"> </w:t>
      </w:r>
      <w:r>
        <w:t xml:space="preserve">adding that</w:t>
      </w:r>
      <w:r>
        <w:t xml:space="preserve"> </w:t>
      </w:r>
      <w:r>
        <w:t xml:space="preserve">“the UK cannot win the global race on digital assets if sterling stablecoins remain less commercially viable or less useful than their dollar and euro counterparts.”</w:t>
      </w:r>
      <w:r>
        <w:t xml:space="preserve"> </w:t>
      </w:r>
      <w:r>
        <w:t xml:space="preserve">The Bank is taking feedback through 22 September 2026 and intends to finalise the Code of Practice by end-2026, clearing regulated sterling stablecoins to operate from 2027. The regime covers only sterling systemic stablecoins used for retail payments, separate from the FCA’s wider cryptoasset rules under the Financial Services and Markets Act 2023.</w:t>
      </w:r>
    </w:p>
    <w:p>
      <w:pPr>
        <w:pStyle w:val="BodyText"/>
      </w:pPr>
      <w:r>
        <w:rPr>
          <w:b/>
          <w:bCs/>
        </w:rPr>
        <w:t xml:space="preserve">References</w:t>
      </w:r>
    </w:p>
    <w:p>
      <w:pPr>
        <w:pStyle w:val="BodyText"/>
      </w:pPr>
      <w:r>
        <w:t xml:space="preserve">[1] Bank of England. (2026, June 22). Bank of England launches policy statement and draft rules on regulating systemic stablecoins. Bank of England. https://www.bankofengland.co.uk/news/2026/june/boe-launches-policy-statement-and-draft-rules-on-regulating-systemic-stablecoins</w:t>
      </w:r>
      <w:r>
        <w:t xml:space="preserve"> </w:t>
      </w:r>
      <w:r>
        <w:t xml:space="preserve">[2] Seers, P., &amp; Tabahriti, S. (2026, June 22). Bank of England softens stablecoin rules. Reuters. https://finance.yahoo.com/economy/policy/articles/bank-england-softens-stablecoin-rules-074609323.html</w:t>
      </w:r>
      <w:r>
        <w:t xml:space="preserve"> </w:t>
      </w:r>
      <w:r>
        <w:t xml:space="preserve">[3] PYMNTS. (2026, June 22). Bank of England cancels plans for stablecoin ownership limits. PYMNTS.com. https://www.pymnts.com/cryptocurrency/2026/bank-of-england-cancels-plans-for-stablecoin-ownership-limits/</w:t>
      </w:r>
      <w:r>
        <w:t xml:space="preserve"> </w:t>
      </w:r>
      <w:r>
        <w:t xml:space="preserve">[4] Bank of England. (2025, November 10). Bank of England launches consultation on regulating systemic stablecoins. Bank of England. https://www.bankofengland.co.uk/news/2025/november/boe-launches-consultation-on-regulating-systemic-stablecoins</w:t>
      </w:r>
    </w:p>
    <w:p>
      <w:r>
        <w:pict>
          <v:rect style="width:0;height:1.5pt" o:hralign="center" o:hrstd="t" o:hr="t"/>
        </w:pict>
      </w:r>
    </w:p>
    <w:bookmarkEnd w:id="9"/>
    <w:bookmarkStart w:id="10" w:name="X430635315c6513d1f8b5707a1b66d47ab5531d2"/>
    <w:p>
      <w:pPr>
        <w:pStyle w:val="Heading3"/>
      </w:pPr>
      <w:r>
        <w:t xml:space="preserve">Ten years after the referendum, economists put Brexit’s cost at 2 to 8 percent of GDP</w:t>
      </w:r>
    </w:p>
    <w:p>
      <w:pPr>
        <w:pStyle w:val="FirstParagraph"/>
      </w:pPr>
      <w:r>
        <w:t xml:space="preserve">The UK economy is between 2% and 8% smaller than it would have been inside the European Union, economists estimate in a 10-year Brexit retrospective CNN Business published on 22 June 2026, one day before the anniversary of the June 23, 2016 referendum. The lower end of that range echoes the Office for Budget Responsibility, which assumes the post-Brexit trading relationship will permanently cut UK productivity by 4% and reduce both imports and exports by 15% relative to staying in. The damage came not as a crash but as a slow bleed.</w:t>
      </w:r>
      <w:r>
        <w:t xml:space="preserve"> </w:t>
      </w:r>
      <w:r>
        <w:t xml:space="preserve">“Brexit has made the UK economy smaller than it otherwise would have been,”</w:t>
      </w:r>
      <w:r>
        <w:t xml:space="preserve"> </w:t>
      </w:r>
      <w:r>
        <w:t xml:space="preserve">said Jonathan Portes of King’s College London.</w:t>
      </w:r>
      <w:r>
        <w:t xml:space="preserve"> </w:t>
      </w:r>
      <w:r>
        <w:t xml:space="preserve">“The effect has not been a sudden collapse, but a gradual and cumulative drag on trade, investment and productivity.”</w:t>
      </w:r>
    </w:p>
    <w:p>
      <w:pPr>
        <w:pStyle w:val="BodyText"/>
      </w:pPr>
      <w:r>
        <w:t xml:space="preserve">The numbers trace the rewiring of Britain’s commerce. The share of UK exports heading to the EU fell from 54% to 47% over the decade, even as total export value climbed from £130 billion to £240 billion. Friction replaced frictionlessness: Bosch’s British subsidiary now files 10,000 import transactions a year, up from 40 before Brexit. Net migration, the issue that drove much of the Leave vote, averaged 550,000 a year since 2021, more than double the 250,000 of the 2010s.</w:t>
      </w:r>
    </w:p>
    <w:p>
      <w:pPr>
        <w:pStyle w:val="BodyText"/>
      </w:pPr>
      <w:r>
        <w:t xml:space="preserve">New trade deals struck since leaving were described as trivial against the £856 billion of UK-EU bilateral trade in 2025, and a YouGov poll found six in ten Britons now think Brexit has been a failure. Relations between London and Brussels have warmed markedly under Prime Minister Starmer, who pushed for closer Single Market alignment before his resignation this week.</w:t>
      </w:r>
    </w:p>
    <w:p>
      <w:pPr>
        <w:pStyle w:val="BodyText"/>
      </w:pPr>
      <w:r>
        <w:rPr>
          <w:b/>
          <w:bCs/>
        </w:rPr>
        <w:t xml:space="preserve">References</w:t>
      </w:r>
    </w:p>
    <w:p>
      <w:pPr>
        <w:pStyle w:val="BodyText"/>
      </w:pPr>
      <w:r>
        <w:t xml:space="preserve">[5] CNN Business. (2026, June 22). Brexit at 10: How leaving the EU reshaped the UK economy. CNN. https://www.cnn.com/2026/06/22/business/brexit-anniversary-uk-economy-impact-intl</w:t>
      </w:r>
      <w:r>
        <w:t xml:space="preserve"> </w:t>
      </w:r>
      <w:r>
        <w:t xml:space="preserve">[6] Office for Budget Responsibility. (2025). Brexit analysis. Office for Budget Responsibility. https://obr.uk/forecasts-in-depth/the-economy-forecast/brexit-analysis/</w:t>
      </w:r>
    </w:p>
    <w:p>
      <w:r>
        <w:pict>
          <v:rect style="width:0;height:1.5pt" o:hralign="center" o:hrstd="t" o:hr="t"/>
        </w:pict>
      </w:r>
    </w:p>
    <w:bookmarkEnd w:id="10"/>
    <w:bookmarkStart w:id="11" w:name="Xb504c1075df1e617191f8f63866c4f3d499c55f"/>
    <w:p>
      <w:pPr>
        <w:pStyle w:val="Heading3"/>
      </w:pPr>
      <w:r>
        <w:t xml:space="preserve">UK-Mexico CPTPP trade terms take effect, completing the Pacific bloc</w:t>
      </w:r>
    </w:p>
    <w:p>
      <w:pPr>
        <w:pStyle w:val="FirstParagraph"/>
      </w:pPr>
      <w:r>
        <w:t xml:space="preserve">UK exporters won preferential access to Mexico on 22 June 2026, when the two countries’ CPTPP trade provisions entered into force and Mexico became the last member to ratify Britain’s accession. From that date, Tariff Preference and the Mexico Preferential Tariff Quota apply to UK-Mexico trade under the Comprehensive and Progressive Agreement for Trans-Pacific Partnership, with importers required to declare goods under the correct tariff codes to claim the lower rates.</w:t>
      </w:r>
    </w:p>
    <w:p>
      <w:pPr>
        <w:pStyle w:val="BodyText"/>
      </w:pPr>
      <w:r>
        <w:t xml:space="preserve">The milestone closes a loop that opened on 15 December 2024, when the UK formally joined CPTPP as a full member but could not yet trade on bloc terms with Mexico, which had not ratified. Mexico’s National Decree of 20 January 2026 cleared the path. UK red meat producers stand to gain most from the opening: industry analysis flags Mexico as the single largest CPTPP market opportunity for British beef and pork, where most-favoured-nation tariffs had run as high as 20%. UK-Malaysia CPTPP provisions entered into force on the same day, leaving the partnership covering 12 member countries with combined GDP above $15 trillion.</w:t>
      </w:r>
    </w:p>
    <w:p>
      <w:pPr>
        <w:pStyle w:val="BodyText"/>
      </w:pPr>
      <w:r>
        <w:rPr>
          <w:b/>
          <w:bCs/>
        </w:rPr>
        <w:t xml:space="preserve">References</w:t>
      </w:r>
    </w:p>
    <w:p>
      <w:pPr>
        <w:pStyle w:val="BodyText"/>
      </w:pPr>
      <w:r>
        <w:t xml:space="preserve">[7] UK Government. (2026, May 18). Mexico ratification of UK accession added to CPTPP area. HM Revenue &amp; Customs Trade Tariff Service. https://www.trade-tariff.service.gov.uk/news/stories/mexico-ratification-of-uk-accession-added-to-comprehensive-and-progressive-agreement-for-trans-pacific-partnership-cptpp-area–18-may-2026</w:t>
      </w:r>
      <w:r>
        <w:t xml:space="preserve"> </w:t>
      </w:r>
      <w:r>
        <w:t xml:space="preserve">[8] UK Government. (2026). CPTPP: exporting from the UK. business.gov.uk. https://www.business.gov.uk/export-from-uk/campaigns/CPTPP/</w:t>
      </w:r>
      <w:r>
        <w:t xml:space="preserve"> </w:t>
      </w:r>
      <w:r>
        <w:t xml:space="preserve">[9] AHDB. (2024, December 15). The UK joins CPTPP. Agriculture and Horticulture Development Board. https://ahdb.org.uk/trade-and-policy/the-uk-joins-cptpp</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514bd98e8aed7d22652ffcb326f3567f66d7bbb"/>
    <w:p>
      <w:pPr>
        <w:pStyle w:val="Heading3"/>
      </w:pPr>
      <w:r>
        <w:t xml:space="preserve">Starmer resigns as prime minister, Burnham positioned to take over</w:t>
      </w:r>
    </w:p>
    <w:p>
      <w:pPr>
        <w:pStyle w:val="FirstParagraph"/>
      </w:pPr>
      <w:r>
        <w:t xml:space="preserve">Keir Starmer told King Charles III he was resigning on the morning of Monday 22 June 2026, then stepped out of 10 Downing Street to confirm it.</w:t>
      </w:r>
      <w:r>
        <w:t xml:space="preserve"> </w:t>
      </w:r>
      <w:r>
        <w:t xml:space="preserve">“The question my party is asking now is whether I am best placed to lead us into the next general election,”</w:t>
      </w:r>
      <w:r>
        <w:t xml:space="preserve"> </w:t>
      </w:r>
      <w:r>
        <w:t xml:space="preserve">Starmer said.</w:t>
      </w:r>
      <w:r>
        <w:t xml:space="preserve"> </w:t>
      </w:r>
      <w:r>
        <w:t xml:space="preserve">“I have heard the answer from my parliamentary party to that question and I accept that answer with good grace.”</w:t>
      </w:r>
      <w:r>
        <w:t xml:space="preserve"> </w:t>
      </w:r>
      <w:r>
        <w:t xml:space="preserve">Less than two years after leading Labour to a landslide in July 2024, he becomes the sixth British prime minister to leave office in a decade.</w:t>
      </w:r>
    </w:p>
    <w:p>
      <w:pPr>
        <w:pStyle w:val="BodyText"/>
      </w:pPr>
      <w:r>
        <w:t xml:space="preserve">The collapse was months in the making. More than 80 Labour MPs had publicly called on Starmer to quit; Health Secretary Wes Streeting and three Ministry of Defence ministers had resigned; and Labour was hammered in the May 2026 local and regional elections, with an approval rating that had sunk far into negative territory through 2025 amid the winter fuel and welfare-cut rows. The decisive blow came on 20 June 2026, when Andy Burnham — the Greater Manchester mayor long seen as the party’s most electable figure against a surging Reform UK — won the Makerfield by-election and a seat in the Commons.</w:t>
      </w:r>
    </w:p>
    <w:p>
      <w:pPr>
        <w:pStyle w:val="BodyText"/>
      </w:pPr>
      <w:r>
        <w:t xml:space="preserve">Burnham confirmed within hours he would stand for the leadership. Markets shrugged: sterling weakened 0.25% to 1.3201 against the US dollar and the FTSE 100 slipped 0.03%. Starmer stays on as caretaker until a successor is chosen, with Labour leadership nominations opening on 9 July and a new leader confirmed by September 2026 at the latest.</w:t>
      </w:r>
    </w:p>
    <w:p>
      <w:pPr>
        <w:pStyle w:val="BodyText"/>
      </w:pPr>
      <w:r>
        <w:rPr>
          <w:b/>
          <w:bCs/>
        </w:rPr>
        <w:t xml:space="preserve">References</w:t>
      </w:r>
    </w:p>
    <w:p>
      <w:pPr>
        <w:pStyle w:val="BodyText"/>
      </w:pPr>
      <w:r>
        <w:t xml:space="preserve">[10] Al Jazeera Staff. (2026, June 22). UK’s Starmer announces resignation from office after mounting pressure. Al Jazeera. https://www.aljazeera.com/news/2026/6/22/uks-starmer-announces-resignation-from-office-after-mounting-pressure</w:t>
      </w:r>
      <w:r>
        <w:t xml:space="preserve"> </w:t>
      </w:r>
      <w:r>
        <w:t xml:space="preserve">[11] Time. (2026, June 22). UK Prime Minister Keir Starmer resignation; Burnham leadership potential. Time. https://time.com/article/2026/06/22/uk-prime-minister-keir-starmer-resignation-reports-burnham-leadership-potential/</w:t>
      </w:r>
      <w:r>
        <w:t xml:space="preserve"> </w:t>
      </w:r>
      <w:r>
        <w:t xml:space="preserve">[12] Press Association. (2026, June 22). What might Andy Burnham as PM mean? Yahoo Finance. https://uk.finance.yahoo.com/news/might-andy-burnham-pm-mean-093208576.html</w:t>
      </w:r>
      <w:r>
        <w:t xml:space="preserve"> </w:t>
      </w:r>
      <w:r>
        <w:t xml:space="preserve">[13] NBC News. (2026, June 22). Keir Starmer resigns as prime minister; Andy Burnham, Labour Party. NBC News. https://www.nbcnews.com/world/united-kingdom/keir-starmer-resigns-prime-minister-andy-burnham-labour-party-britain-rcna257534</w:t>
      </w:r>
    </w:p>
    <w:p>
      <w:r>
        <w:pict>
          <v:rect style="width:0;height:1.5pt" o:hralign="center" o:hrstd="t" o:hr="t"/>
        </w:pict>
      </w:r>
    </w:p>
    <w:bookmarkEnd w:id="13"/>
    <w:bookmarkStart w:id="14" w:name="X4cb068f49074a76627a14d744343a1a7b9ce756"/>
    <w:p>
      <w:pPr>
        <w:pStyle w:val="Heading3"/>
      </w:pPr>
      <w:r>
        <w:t xml:space="preserve">Armed Forces Bill clears the Commons, putting the military covenant into law</w:t>
      </w:r>
    </w:p>
    <w:p>
      <w:pPr>
        <w:pStyle w:val="FirstParagraph"/>
      </w:pPr>
      <w:r>
        <w:t xml:space="preserve">The Armed Forces Bill passed its Report Stage and Third Reading in the House of Commons on 22 June 2026 and moved to the House of Lords. The centrepiece writes the Armed Forces Covenant into statute across central government, devolved administrations and local authorities — the first time public bodies including the NHS are legally required to have</w:t>
      </w:r>
      <w:r>
        <w:t xml:space="preserve"> </w:t>
      </w:r>
      <w:r>
        <w:t xml:space="preserve">“due regard”</w:t>
      </w:r>
      <w:r>
        <w:t xml:space="preserve"> </w:t>
      </w:r>
      <w:r>
        <w:t xml:space="preserve">to service personnel in housing, healthcare and education.</w:t>
      </w:r>
    </w:p>
    <w:p>
      <w:pPr>
        <w:pStyle w:val="BodyText"/>
      </w:pPr>
      <w:r>
        <w:t xml:space="preserve">The bill also creates a Defence Housing Service to take over service accommodation from the Ministry of Defence, backed by a £9 billion investment commitment, after years of complaints about the quality of military family housing. It empowers defence personnel to detect and counter drones, raises the maximum strategic reserve recall age from 55 to 65, and introduces new restrictive orders and a victim code of practice for serious service offences including sexual crimes and domestic abuse. Programmed under a motion agreed on 2 June 2026 with Committee Stage completed the same day, the bill now needs Lords scrutiny and Royal Assent to become law.</w:t>
      </w:r>
    </w:p>
    <w:p>
      <w:pPr>
        <w:pStyle w:val="BodyText"/>
      </w:pPr>
      <w:r>
        <w:rPr>
          <w:b/>
          <w:bCs/>
        </w:rPr>
        <w:t xml:space="preserve">References</w:t>
      </w:r>
    </w:p>
    <w:p>
      <w:pPr>
        <w:pStyle w:val="BodyText"/>
      </w:pPr>
      <w:r>
        <w:t xml:space="preserve">[14] Hansard Society. (2026, June 22). Parliament Matters Bulletin: 22 June 2026. Hansard Society. https://www.hansardsociety.org.uk/news/parliament-matters-bulletin-22-june-2026</w:t>
      </w:r>
      <w:r>
        <w:t xml:space="preserve"> </w:t>
      </w:r>
      <w:r>
        <w:t xml:space="preserve">[15] GOV.UK. (2026). Armed Forces Bill 2026. GOV.UK. https://www.gov.uk/government/collections/armed-forces-bill-2026</w:t>
      </w:r>
      <w:r>
        <w:t xml:space="preserve"> </w:t>
      </w:r>
      <w:r>
        <w:t xml:space="preserve">[16] House of Commons Library. (2026). Armed Forces Bill 2026. House of Commons Library. https://commonslibrary.parliament.uk/research-briefings/cbp-10471/</w:t>
      </w:r>
    </w:p>
    <w:p>
      <w:r>
        <w:pict>
          <v:rect style="width:0;height:1.5pt" o:hralign="center" o:hrstd="t" o:hr="t"/>
        </w:pict>
      </w:r>
    </w:p>
    <w:bookmarkEnd w:id="14"/>
    <w:bookmarkStart w:id="15" w:name="X6d4d364bcda8ec77a8c03f90bb1395e81d8f4f1"/>
    <w:p>
      <w:pPr>
        <w:pStyle w:val="Heading3"/>
      </w:pPr>
      <w:r>
        <w:t xml:space="preserve">Streeting drops out of the leadership race and throws his weight behind Burnham</w:t>
      </w:r>
    </w:p>
    <w:p>
      <w:pPr>
        <w:pStyle w:val="FirstParagraph"/>
      </w:pPr>
      <w:r>
        <w:t xml:space="preserve">Wes Streeting confirmed on 22 June 2026 that he would not stand for the Labour leadership and would back Andy Burnham to succeed Keir Starmer as both party leader and prime minister.</w:t>
      </w:r>
      <w:r>
        <w:t xml:space="preserve"> </w:t>
      </w:r>
      <w:r>
        <w:t xml:space="preserve">“We could spend the summer exaggerating small differences, or we can roll up our sleeves and help him to deliver the change our party and our country needs,”</w:t>
      </w:r>
      <w:r>
        <w:t xml:space="preserve"> </w:t>
      </w:r>
      <w:r>
        <w:t xml:space="preserve">the former health secretary said.</w:t>
      </w:r>
    </w:p>
    <w:p>
      <w:pPr>
        <w:pStyle w:val="BodyText"/>
      </w:pPr>
      <w:r>
        <w:t xml:space="preserve">The withdrawal removes the most credible alternative to Burnham. Streeting had resigned from Cabinet on 14 May 2026 in open criticism of Starmer’s leadership and had secured commitments from 81 Labour MPs to support a run of his own. By standing aside for Burnham — newly elected MP for Makerfield on 20 June — he leaves the Greater Manchester mayor without an obvious parliamentary challenger as nominations formally open on 9 July 2026.</w:t>
      </w:r>
    </w:p>
    <w:p>
      <w:pPr>
        <w:pStyle w:val="BodyText"/>
      </w:pPr>
      <w:r>
        <w:rPr>
          <w:b/>
          <w:bCs/>
        </w:rPr>
        <w:t xml:space="preserve">References</w:t>
      </w:r>
    </w:p>
    <w:p>
      <w:pPr>
        <w:pStyle w:val="BodyText"/>
      </w:pPr>
      <w:r>
        <w:t xml:space="preserve">[17] Green, D. (2026, June 22). Wes Streeting backs Andy Burnham for Labour leadership. LabourList. https://labourlist.org/2026/06/wes-streeting-andy-burnham-labour-leadership/</w:t>
      </w:r>
    </w:p>
    <w:p>
      <w:r>
        <w:pict>
          <v:rect style="width:0;height:1.5pt" o:hralign="center" o:hrstd="t" o:hr="t"/>
        </w:pict>
      </w:r>
    </w:p>
    <w:bookmarkEnd w:id="15"/>
    <w:bookmarkEnd w:id="16"/>
    <w:bookmarkStart w:id="18" w:name="technology-industry"/>
    <w:p>
      <w:pPr>
        <w:pStyle w:val="Heading2"/>
      </w:pPr>
      <w:r>
        <w:t xml:space="preserve">3. Technology &amp; Industry</w:t>
      </w:r>
    </w:p>
    <w:bookmarkStart w:id="17" w:name="X9565cee719f35c65878511c001bb806f053740a"/>
    <w:p>
      <w:pPr>
        <w:pStyle w:val="Heading3"/>
      </w:pPr>
      <w:r>
        <w:t xml:space="preserve">UK and Malaysia open digital trade talks covering AI, data flows and cybersecurity</w:t>
      </w:r>
    </w:p>
    <w:p>
      <w:pPr>
        <w:pStyle w:val="FirstParagraph"/>
      </w:pPr>
      <w:r>
        <w:t xml:space="preserve">The UK and Malaysia launched negotiations on a bilateral Digital Trade Agreement on 22 June 2026, aiming to guarantee cross-border data flows, digitise customs paperwork, and set protections for personal data, intellectual property, online consumers and cybersecurity, while supporting responsible AI development.</w:t>
      </w:r>
      <w:r>
        <w:t xml:space="preserve"> </w:t>
      </w:r>
      <w:r>
        <w:t xml:space="preserve">“Launching negotiations with Malaysia marks an important step in strengthening the UK’s position as a global leader in digital trade,”</w:t>
      </w:r>
      <w:r>
        <w:t xml:space="preserve"> </w:t>
      </w:r>
      <w:r>
        <w:t xml:space="preserve">said Trade Minister Sir Chris Bryant.</w:t>
      </w:r>
    </w:p>
    <w:p>
      <w:pPr>
        <w:pStyle w:val="BodyText"/>
      </w:pPr>
      <w:r>
        <w:t xml:space="preserve">The two economies traded £6.4 billion in goods and services in 2025, and UK digitally delivered services exports to Malaysia reached £730 million in 2023, supporting an estimated 31,100 UK jobs on OECD figures. The Department for Business and Trade frames the talks as part of a wider Southeast Asia digital push, and the timing was deliberate: it coincided with UK-Malaysia CPTPP trade provisions entering into force the same day.</w:t>
      </w:r>
    </w:p>
    <w:p>
      <w:pPr>
        <w:pStyle w:val="BodyText"/>
      </w:pPr>
      <w:r>
        <w:rPr>
          <w:i/>
          <w:iCs/>
        </w:rPr>
        <w:t xml:space="preserve">Note: only 1 story met T1-T4 standards for this category today.</w:t>
      </w:r>
    </w:p>
    <w:p>
      <w:pPr>
        <w:pStyle w:val="BodyText"/>
      </w:pPr>
      <w:r>
        <w:rPr>
          <w:b/>
          <w:bCs/>
        </w:rPr>
        <w:t xml:space="preserve">References</w:t>
      </w:r>
    </w:p>
    <w:p>
      <w:pPr>
        <w:pStyle w:val="BodyText"/>
      </w:pPr>
      <w:r>
        <w:t xml:space="preserve">[18] Department for Business and Trade. (2026, June 22). UK and Malaysia launch negotiations on digital trade agreement. GOV.UK. https://www.gov.uk/government/news/uk-and-malaysia-launch-negotiations-on-digital-trade-agreement</w:t>
      </w:r>
    </w:p>
    <w:p>
      <w:r>
        <w:pict>
          <v:rect style="width:0;height:1.5pt" o:hralign="center" o:hrstd="t" o:hr="t"/>
        </w:pict>
      </w:r>
    </w:p>
    <w:bookmarkEnd w:id="17"/>
    <w:bookmarkEnd w:id="18"/>
    <w:bookmarkStart w:id="20" w:name="society-livelihood"/>
    <w:p>
      <w:pPr>
        <w:pStyle w:val="Heading2"/>
      </w:pPr>
      <w:r>
        <w:t xml:space="preserve">4. Society &amp; Livelihood</w:t>
      </w:r>
    </w:p>
    <w:bookmarkStart w:id="19" w:name="X71bbc53cb2320a267c2d9afbee55168f6153aca"/>
    <w:p>
      <w:pPr>
        <w:pStyle w:val="Heading3"/>
      </w:pPr>
      <w:r>
        <w:t xml:space="preserve">Met Office issues first Red Extreme Heat Warning since 2022 as June records look set to fall</w:t>
      </w:r>
    </w:p>
    <w:p>
      <w:pPr>
        <w:pStyle w:val="FirstParagraph"/>
      </w:pPr>
      <w:r>
        <w:t xml:space="preserve">The Met Office issued a Red Extreme Heat Warning on 22 June 2026 for central and southern England and Wales, effective Wednesday 24 June 09:00 to Thursday 25 June 21:00 — the first red heat warning since the record-breaking July 2022 heatwave, when temperatures topped 40°C for the first time in UK history. Temperatures are forecast to climb from up to 34°C in southern England on Monday 22 June to 37°C on Tuesday and a peak of at least 39°C on Wednesday and Thursday, alongside existing Amber warnings running from 22 to 25 June.</w:t>
      </w:r>
    </w:p>
    <w:p>
      <w:pPr>
        <w:pStyle w:val="BodyText"/>
      </w:pPr>
      <w:r>
        <w:t xml:space="preserve">The current UK June record of 35.6°C, set in Southampton in June 1976, was judged</w:t>
      </w:r>
      <w:r>
        <w:t xml:space="preserve"> </w:t>
      </w:r>
      <w:r>
        <w:t xml:space="preserve">“very likely”</w:t>
      </w:r>
      <w:r>
        <w:t xml:space="preserve"> </w:t>
      </w:r>
      <w:r>
        <w:t xml:space="preserve">to be broken, with a 40% chance of being exceeded. Dew points near 22°C mean widespread</w:t>
      </w:r>
      <w:r>
        <w:t xml:space="preserve"> </w:t>
      </w:r>
      <w:r>
        <w:t xml:space="preserve">“Tropical Nights”</w:t>
      </w:r>
      <w:r>
        <w:t xml:space="preserve"> </w:t>
      </w:r>
      <w:r>
        <w:t xml:space="preserve">with minimum temperatures above 20°C — the conditions most dangerous for health.</w:t>
      </w:r>
      <w:r>
        <w:t xml:space="preserve"> </w:t>
      </w:r>
      <w:r>
        <w:t xml:space="preserve">“Red warnings are reserved for the most severe events and we’re expecting severe and significant impacts from this heatwave, with health impacts likely for many, even beyond those who are normally more vulnerable to the heat,”</w:t>
      </w:r>
      <w:r>
        <w:t xml:space="preserve"> </w:t>
      </w:r>
      <w:r>
        <w:t xml:space="preserve">said Deputy Chief Forecaster Mark Sidaway.</w:t>
      </w:r>
    </w:p>
    <w:p>
      <w:pPr>
        <w:pStyle w:val="BodyText"/>
      </w:pPr>
      <w:r>
        <w:t xml:space="preserve">The UK Health Security Agency issued Red Heat Health Alerts, updated 10:26 AM on 22 June, covering six regions — East of England, East Midlands, London, South East, South West and West Midlands — warning the red alert indicates a risk to life even for the healthy population. The alert landed as London Climate Action Week 2026 opened the same day.</w:t>
      </w:r>
    </w:p>
    <w:p>
      <w:pPr>
        <w:pStyle w:val="BodyText"/>
      </w:pPr>
      <w:r>
        <w:rPr>
          <w:i/>
          <w:iCs/>
        </w:rPr>
        <w:t xml:space="preserve">Note: only 1 story met T1-T4 standards for this category today.</w:t>
      </w:r>
    </w:p>
    <w:p>
      <w:pPr>
        <w:pStyle w:val="BodyText"/>
      </w:pPr>
      <w:r>
        <w:rPr>
          <w:b/>
          <w:bCs/>
        </w:rPr>
        <w:t xml:space="preserve">References</w:t>
      </w:r>
    </w:p>
    <w:p>
      <w:pPr>
        <w:pStyle w:val="BodyText"/>
      </w:pPr>
      <w:r>
        <w:t xml:space="preserve">[19] Met Office. (2026, June 22). Red extreme heat warning issued with June temperature records forecast to break. Met Office. https://www.metoffice.gov.uk/about-us/news-and-media/media-centre/weather-and-climate-news/2026/red-extreme-heat-warning-issued-with-june-temperature-records-forecast-to-break</w:t>
      </w:r>
      <w:r>
        <w:t xml:space="preserve"> </w:t>
      </w:r>
      <w:r>
        <w:t xml:space="preserve">[20] UK Health Security Agency. (2026, June 22). Weather-health alerts: heat. UKHSA. https://ukhsa-dashboard.data.gov.uk/weather-health-alerts/heat</w:t>
      </w:r>
      <w:r>
        <w:t xml:space="preserve"> </w:t>
      </w:r>
      <w:r>
        <w:t xml:space="preserve">[21] University of Reading. (2026, June 22). UK heatwave: experts comment as records set to be broken. University of Reading. https://www.reading.ac.uk/news/2026/Expert-Comment/UK-heatwave-experts-comment-as-records-set-to-be-broken</w:t>
      </w:r>
      <w:r>
        <w:t xml:space="preserve"> </w:t>
      </w:r>
      <w:r>
        <w:t xml:space="preserve">[22] Met Office. (2022, July 15). UK prepares for historic hot spell. Met Office. https://www.metoffice.gov.uk/about-us/news-and-media/media-centre/weather-and-climate-news/2022/red-extreme-heat-warning</w:t>
      </w:r>
    </w:p>
    <w:p>
      <w:r>
        <w:pict>
          <v:rect style="width:0;height:1.5pt" o:hralign="center" o:hrstd="t" o:hr="t"/>
        </w:pict>
      </w:r>
    </w:p>
    <w:bookmarkEnd w:id="19"/>
    <w:bookmarkEnd w:id="20"/>
    <w:bookmarkStart w:id="22" w:name="corporate-ipo-ma"/>
    <w:p>
      <w:pPr>
        <w:pStyle w:val="Heading2"/>
      </w:pPr>
      <w:r>
        <w:t xml:space="preserve">5. Corporate IPO &amp; M&amp;A</w:t>
      </w:r>
    </w:p>
    <w:bookmarkStart w:id="21" w:name="Xa2553930d3fe471f651919bdb86795bba4b5f36"/>
    <w:p>
      <w:pPr>
        <w:pStyle w:val="Heading3"/>
      </w:pPr>
      <w:r>
        <w:t xml:space="preserve">Castlelake goes public with £4.74 billion easyJet bid; board rejects third approach as</w:t>
      </w:r>
      <w:r>
        <w:t xml:space="preserve"> </w:t>
      </w:r>
      <w:r>
        <w:t xml:space="preserve">“on the cheap”</w:t>
      </w:r>
    </w:p>
    <w:p>
      <w:pPr>
        <w:pStyle w:val="FirstParagraph"/>
      </w:pPr>
      <w:r>
        <w:t xml:space="preserve">Castlelake, the Minneapolis aviation investment firm with roughly $38 billion under management, took its takeover fight for easyJet public on 22 June 2026, disclosing a third proposal of 625 pence per share in cash — £4.74 billion ($6.26 billion) — after the airline’s board rejected it as</w:t>
      </w:r>
      <w:r>
        <w:t xml:space="preserve"> </w:t>
      </w:r>
      <w:r>
        <w:t xml:space="preserve">“an opportunistic attempt to acquire easyJet</w:t>
      </w:r>
      <w:r>
        <w:t xml:space="preserve"> </w:t>
      </w:r>
      <w:r>
        <w:t xml:space="preserve">‘on the cheap’</w:t>
      </w:r>
      <w:r>
        <w:t xml:space="preserve">.”</w:t>
      </w:r>
      <w:r>
        <w:t xml:space="preserve"> </w:t>
      </w:r>
      <w:r>
        <w:t xml:space="preserve">The offer represents a premium of about 59% to easyJet’s 394.20 pence close on 28 May 2026, before Castlelake’s interest surfaced.</w:t>
      </w:r>
    </w:p>
    <w:p>
      <w:pPr>
        <w:pStyle w:val="BodyText"/>
      </w:pPr>
      <w:r>
        <w:t xml:space="preserve">The board had already turned down two earlier approaches, 560p rejected on 16 June and 600p rejected on 20 June. Castlelake went public to let shareholders weigh the bid before a UK Takeover Panel</w:t>
      </w:r>
      <w:r>
        <w:t xml:space="preserve"> </w:t>
      </w:r>
      <w:r>
        <w:t xml:space="preserve">“put-up-or-shut-up”</w:t>
      </w:r>
      <w:r>
        <w:t xml:space="preserve"> </w:t>
      </w:r>
      <w:r>
        <w:t xml:space="preserve">deadline of 26 June 2026, and offered a partial equity alternative letting investors keep exposure if the carrier is taken private. To clear EU airline-ownership rules, the firm has partnered with former Malaysia Airlines chief Peter Bellew and ex-easyJet executive Mark Breen, who would control an EU-incorporated entity; Goldman Sachs said it was</w:t>
      </w:r>
      <w:r>
        <w:t xml:space="preserve"> </w:t>
      </w:r>
      <w:r>
        <w:t xml:space="preserve">“confident in its ability to arrange the required financing.”</w:t>
      </w:r>
      <w:r>
        <w:t xml:space="preserve"> </w:t>
      </w:r>
      <w:r>
        <w:t xml:space="preserve">easyJet shares jumped more than 5% to 530p in early trading on a deal that would delist the airline from the FTSE 250.</w:t>
      </w:r>
    </w:p>
    <w:p>
      <w:pPr>
        <w:pStyle w:val="BodyText"/>
      </w:pPr>
      <w:r>
        <w:rPr>
          <w:i/>
          <w:iCs/>
        </w:rPr>
        <w:t xml:space="preserve">Note: only 1 story met T1-T4 standards for this category today.</w:t>
      </w:r>
    </w:p>
    <w:p>
      <w:pPr>
        <w:pStyle w:val="BodyText"/>
      </w:pPr>
      <w:r>
        <w:rPr>
          <w:b/>
          <w:bCs/>
        </w:rPr>
        <w:t xml:space="preserve">References</w:t>
      </w:r>
    </w:p>
    <w:p>
      <w:pPr>
        <w:pStyle w:val="BodyText"/>
      </w:pPr>
      <w:r>
        <w:t xml:space="preserve">[23] easyJet plc. (2026, June 22). Possible offer for easyJet plc. Investegate. https://www.investegate.co.uk/announcement/rns/easyjet–ezj/possible-offer-for-easyjet-plc/9628677</w:t>
      </w:r>
      <w:r>
        <w:t xml:space="preserve"> </w:t>
      </w:r>
      <w:r>
        <w:t xml:space="preserve">[24] Kalia, Y. (2026, June 22). Castlelake goes public with $6.26 billion bid for budget carrier easyJet. Reuters. https://www.investing.com/news/stock-market-news/castlelake-goes-public-with-626-billion-bid-for-budget-carrier-easyjet-4751756</w:t>
      </w:r>
      <w:r>
        <w:t xml:space="preserve"> </w:t>
      </w:r>
      <w:r>
        <w:t xml:space="preserve">[25] Reuters. (2026, June 22). Budget carrier easyJet rejects Castlelake’s third 625p-a-share proposal. U.S. News &amp; World Report. https://money.usnews.com/investing/news/articles/2026-06-22/budget-carrier-easyjet-rejects-castlelakes-third-625p-a-share-proposal</w:t>
      </w:r>
    </w:p>
    <w:p>
      <w:r>
        <w:pict>
          <v:rect style="width:0;height:1.5pt" o:hralign="center" o:hrstd="t" o:hr="t"/>
        </w:pict>
      </w:r>
    </w:p>
    <w:bookmarkEnd w:id="21"/>
    <w:bookmarkEnd w:id="22"/>
    <w:bookmarkStart w:id="24" w:name="other-notable-events"/>
    <w:p>
      <w:pPr>
        <w:pStyle w:val="Heading2"/>
      </w:pPr>
      <w:r>
        <w:t xml:space="preserve">6. Other Notable Events</w:t>
      </w:r>
    </w:p>
    <w:bookmarkStart w:id="23" w:name="Xe5e6242480e1d8f3c4171d19fd9438985bce683"/>
    <w:p>
      <w:pPr>
        <w:pStyle w:val="Heading3"/>
      </w:pPr>
      <w:r>
        <w:t xml:space="preserve">Babcock posts 19% underlying profit growth, absorbs £140m Type 31 frigate charge</w:t>
      </w:r>
    </w:p>
    <w:p>
      <w:pPr>
        <w:pStyle w:val="FirstParagraph"/>
      </w:pPr>
      <w:r>
        <w:t xml:space="preserve">Babcock International Group grew revenue 8% organically to £5,177.7 million in the year to 31 March 2026, results published on 22 June 2026 showed, but a one-off £140 million charge on the Type 31 frigate programme dragged reported underlying operating profit down to £293.3 million. The charge stemmed from design changes and out-of-sequence build work during outfitting of the lead ship, part of the five-strong Inspiration-class fleet Babcock is assembling at Rosyth for the Royal Navy.</w:t>
      </w:r>
    </w:p>
    <w:p>
      <w:pPr>
        <w:pStyle w:val="BodyText"/>
      </w:pPr>
      <w:r>
        <w:t xml:space="preserve">Strip out the frigate hit and the underlying picture was strong: operating profit rose 19% to £433.3 million, the underlying margin improved to 8.2%, underlying EPS excluding the charge reached 60.5 pence, and free cash flow jumped 71% to £261.8 million. Net debt excluding leases fell to £22.7 million and the contract backlog stood at £9.8 billion, leaving the board confident enough to raise the final dividend 15% to 7.5 pence per share and launch a new £200 million share buyback.</w:t>
      </w:r>
    </w:p>
    <w:p>
      <w:pPr>
        <w:pStyle w:val="BodyText"/>
      </w:pPr>
      <w:r>
        <w:t xml:space="preserve">“We achieved strong underlying growth, improved margins and robust cash generation,”</w:t>
      </w:r>
      <w:r>
        <w:t xml:space="preserve"> </w:t>
      </w:r>
      <w:r>
        <w:t xml:space="preserve">said chief executive David Lockwood, with the company well-positioned as defence demand rises across Europe. The Type 31 programme, despite the charge, sustains roughly 2,500 highly skilled jobs. Shares fell on the day on the frigate write-down.</w:t>
      </w:r>
    </w:p>
    <w:p>
      <w:pPr>
        <w:pStyle w:val="BodyText"/>
      </w:pPr>
      <w:r>
        <w:rPr>
          <w:i/>
          <w:iCs/>
        </w:rPr>
        <w:t xml:space="preserve">Note: only 1 story met T1-T4 standards for this category today.</w:t>
      </w:r>
    </w:p>
    <w:p>
      <w:pPr>
        <w:pStyle w:val="BodyText"/>
      </w:pPr>
      <w:r>
        <w:rPr>
          <w:b/>
          <w:bCs/>
        </w:rPr>
        <w:t xml:space="preserve">References</w:t>
      </w:r>
    </w:p>
    <w:p>
      <w:pPr>
        <w:pStyle w:val="BodyText"/>
      </w:pPr>
      <w:r>
        <w:t xml:space="preserve">[26] Babcock International Group. (2026, June 22). Babcock announces preliminary results for the year ended 31 March 2026. Babcock International Group. https://www.babcockinternational.com/news/babcock-announces-preliminary-results-for-the-year-ended-31-march-2026/</w:t>
      </w:r>
      <w:r>
        <w:t xml:space="preserve"> </w:t>
      </w:r>
      <w:r>
        <w:t xml:space="preserve">[27] Babcock International Group. (2026, June 22). Final results. Investegate. https://www.investegate.co.uk/announcement/rns/babcock-international-group–bab/final-results/9628674</w:t>
      </w:r>
      <w:r>
        <w:t xml:space="preserve"> </w:t>
      </w:r>
      <w:r>
        <w:t xml:space="preserve">[28] Naval News. (2026, February 25). UK Type 31 programme rolls on with roll-out of ship two. Naval News. https://www.navalnews.com/naval-news/2026/02/uk-type-31-programme-rolls-on-with-roll-out-of-ship-two/</w: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2026-06-22T14:05:51Z</dcterms:created>
  <dcterms:modified xsi:type="dcterms:W3CDTF">2026-06-22T14:05:51Z</dcterms:modified>
</cp:coreProperties>
</file>

<file path=docProps/custom.xml><?xml version="1.0" encoding="utf-8"?>
<Properties xmlns="http://schemas.openxmlformats.org/officeDocument/2006/custom-properties" xmlns:vt="http://schemas.openxmlformats.org/officeDocument/2006/docPropsVTypes"/>
</file>