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2026年7月2日</w:t>
      </w:r>
    </w:p>
    <w:p/>
    <w:p>
      <w:pPr>
        <w:pStyle w:val="ListParagraph"/>
        <w:numPr>
          <w:ilvl w:val="0"/>
          <w:numId w:val="8"/>
        </w:numPr>
      </w:pPr>
      <w:r>
        <w:rPr>
          <w:rFonts w:ascii="FangSong_GB2312" w:hAnsi="FangSong_GB2312" w:eastAsia="FangSong_GB2312"/>
          <w:b/>
          <w:sz w:val="21"/>
        </w:rPr>
        <w:t>存储芯片反垄断诉讼引爆全球抛售，逾万亿美元市值蒸发</w:t>
      </w:r>
    </w:p>
    <w:p>
      <w:pPr>
        <w:pStyle w:val="ListParagraph"/>
        <w:numPr>
          <w:ilvl w:val="0"/>
          <w:numId w:val="8"/>
        </w:numPr>
      </w:pPr>
      <w:r>
        <w:rPr>
          <w:rFonts w:ascii="FangSong_GB2312" w:hAnsi="FangSong_GB2312" w:eastAsia="FangSong_GB2312"/>
          <w:b/>
          <w:sz w:val="21"/>
        </w:rPr>
        <w:t>美国弃约USMCA触发逐年审查，Meta转售AI算力股价涨9%</w:t>
      </w:r>
    </w:p>
    <w:p>
      <w:pPr>
        <w:pStyle w:val="ListParagraph"/>
        <w:numPr>
          <w:ilvl w:val="0"/>
          <w:numId w:val="8"/>
        </w:numPr>
      </w:pPr>
      <w:r>
        <w:rPr>
          <w:rFonts w:ascii="FangSong_GB2312" w:hAnsi="FangSong_GB2312" w:eastAsia="FangSong_GB2312"/>
          <w:b/>
          <w:sz w:val="21"/>
        </w:rPr>
        <w:t>OpenAI拟向美国政府无偿赠予5%股权，约合426亿美元</w:t>
      </w:r>
    </w:p>
    <w:p>
      <w:pPr>
        <w:pStyle w:val="ListParagraph"/>
        <w:numPr>
          <w:ilvl w:val="0"/>
          <w:numId w:val="8"/>
        </w:numPr>
      </w:pPr>
      <w:r>
        <w:rPr>
          <w:rFonts w:ascii="FangSong_GB2312" w:hAnsi="FangSong_GB2312" w:eastAsia="FangSong_GB2312"/>
          <w:b/>
          <w:sz w:val="21"/>
        </w:rPr>
        <w:t>伯纳姆无对手迈向英国首相之位，斯塔默辞职引党魁更替</w:t>
      </w:r>
    </w:p>
    <w:p>
      <w:pPr>
        <w:pStyle w:val="ListParagraph"/>
        <w:numPr>
          <w:ilvl w:val="0"/>
          <w:numId w:val="8"/>
        </w:numPr>
      </w:pPr>
      <w:r>
        <w:rPr>
          <w:rFonts w:ascii="FangSong_GB2312" w:hAnsi="FangSong_GB2312" w:eastAsia="FangSong_GB2312"/>
          <w:b/>
          <w:sz w:val="21"/>
        </w:rPr>
        <w:t>英国钢铁国有化法案闯过上议院委员会阶段</w:t>
      </w:r>
    </w:p>
    <w:p>
      <w:pPr>
        <w:pStyle w:val="ListParagraph"/>
        <w:numPr>
          <w:ilvl w:val="0"/>
          <w:numId w:val="8"/>
        </w:numPr>
      </w:pPr>
      <w:r>
        <w:rPr>
          <w:rFonts w:ascii="FangSong_GB2312" w:hAnsi="FangSong_GB2312" w:eastAsia="FangSong_GB2312"/>
          <w:b/>
          <w:sz w:val="21"/>
        </w:rPr>
        <w:t>欧盟法院终审驳回谷歌上诉，维持41亿欧元安卓罚款</w:t>
      </w:r>
    </w:p>
    <w:p>
      <w:pPr>
        <w:pStyle w:val="ListParagraph"/>
        <w:numPr>
          <w:ilvl w:val="0"/>
          <w:numId w:val="8"/>
        </w:numPr>
      </w:pPr>
      <w:r>
        <w:rPr>
          <w:rFonts w:ascii="FangSong_GB2312" w:hAnsi="FangSong_GB2312" w:eastAsia="FangSong_GB2312"/>
          <w:b/>
          <w:sz w:val="21"/>
        </w:rPr>
        <w:t>德国执政联盟达成改革方案，年减税约100亿欧元</w:t>
      </w:r>
    </w:p>
    <w:p>
      <w:pPr>
        <w:pStyle w:val="ListParagraph"/>
        <w:numPr>
          <w:ilvl w:val="0"/>
          <w:numId w:val="8"/>
        </w:numPr>
      </w:pPr>
      <w:r>
        <w:rPr>
          <w:rFonts w:ascii="FangSong_GB2312" w:hAnsi="FangSong_GB2312" w:eastAsia="FangSong_GB2312"/>
          <w:b/>
          <w:sz w:val="21"/>
        </w:rPr>
        <w:t>王毅同鲁比奥通话，敦促美方审慎处理台湾问题</w:t>
      </w:r>
    </w:p>
    <w:p>
      <w:pPr>
        <w:pStyle w:val="ListParagraph"/>
        <w:numPr>
          <w:ilvl w:val="0"/>
          <w:numId w:val="8"/>
        </w:numPr>
      </w:pPr>
      <w:r>
        <w:rPr>
          <w:rFonts w:ascii="FangSong_GB2312" w:hAnsi="FangSong_GB2312" w:eastAsia="FangSong_GB2312"/>
          <w:b/>
          <w:sz w:val="21"/>
        </w:rPr>
        <w:t>欧盟对华逆差扩至980亿欧元，双轨反制措施7月1日生效</w:t>
      </w:r>
    </w:p>
    <w:p>
      <w:pPr>
        <w:pStyle w:val="ListParagraph"/>
        <w:numPr>
          <w:ilvl w:val="0"/>
          <w:numId w:val="8"/>
        </w:numPr>
      </w:pPr>
      <w:r>
        <w:rPr>
          <w:rFonts w:ascii="FangSong_GB2312" w:hAnsi="FangSong_GB2312" w:eastAsia="FangSong_GB2312"/>
          <w:b/>
          <w:sz w:val="21"/>
        </w:rPr>
        <w:t>日元逼近40年低点，交易员开始推演贬至200的极端情景</w:t>
      </w:r>
    </w:p>
    <w:p>
      <w:pPr>
        <w:pStyle w:val="ListParagraph"/>
        <w:numPr>
          <w:ilvl w:val="0"/>
          <w:numId w:val="8"/>
        </w:numPr>
      </w:pPr>
      <w:r>
        <w:rPr>
          <w:rFonts w:ascii="FangSong_GB2312" w:hAnsi="FangSong_GB2312" w:eastAsia="FangSong_GB2312"/>
          <w:b/>
          <w:sz w:val="21"/>
        </w:rPr>
        <w:t>日本批准3873亿日元开发主权AI，目标2040年部署千万机器人</w:t>
      </w:r>
    </w:p>
    <w:p>
      <w:pPr>
        <w:pStyle w:val="ListParagraph"/>
        <w:numPr>
          <w:ilvl w:val="0"/>
          <w:numId w:val="8"/>
        </w:numPr>
      </w:pPr>
      <w:r>
        <w:rPr>
          <w:rFonts w:ascii="FangSong_GB2312" w:hAnsi="FangSong_GB2312" w:eastAsia="FangSong_GB2312"/>
          <w:b/>
          <w:sz w:val="21"/>
        </w:rPr>
        <w:t>KOSPI暴跌6.2%触发熔断，芯片股遭抛售</w:t>
      </w:r>
    </w:p>
    <w:p>
      <w:pPr>
        <w:pStyle w:val="ListParagraph"/>
        <w:numPr>
          <w:ilvl w:val="0"/>
          <w:numId w:val="8"/>
        </w:numPr>
      </w:pPr>
      <w:r>
        <w:rPr>
          <w:rFonts w:ascii="FangSong_GB2312" w:hAnsi="FangSong_GB2312" w:eastAsia="FangSong_GB2312"/>
          <w:b/>
          <w:sz w:val="21"/>
        </w:rPr>
        <w:t>三星、SK海力士、赛特瑞恩联手在忠清投资392万亿韩元</w:t>
      </w:r>
    </w:p>
    <w:p>
      <w:pPr>
        <w:pStyle w:val="ListParagraph"/>
        <w:numPr>
          <w:ilvl w:val="0"/>
          <w:numId w:val="8"/>
        </w:numPr>
      </w:pPr>
      <w:r>
        <w:rPr>
          <w:rFonts w:ascii="FangSong_GB2312" w:hAnsi="FangSong_GB2312" w:eastAsia="FangSong_GB2312"/>
          <w:b/>
          <w:sz w:val="21"/>
        </w:rPr>
        <w:t>SK海力士递交F-1/A文件，拟纳斯达克募资至多296亿美元</w:t>
      </w:r>
    </w:p>
    <w:p/>
    <w:p/>
    <w:p>
      <w:r>
        <w:rPr>
          <w:rFonts w:ascii="FangSong_GB2312" w:hAnsi="FangSong_GB2312" w:eastAsia="FangSong_GB2312"/>
          <w:b/>
          <w:sz w:val="24"/>
        </w:rPr>
        <w:t>1.存储芯片反垄断诉讼引爆全球抛售，逾万亿美元市值蒸发</w:t>
      </w:r>
    </w:p>
    <w:p>
      <w:r>
        <w:rPr>
          <w:rFonts w:ascii="FangSong_GB2312" w:hAnsi="FangSong_GB2312" w:eastAsia="FangSong_GB2312"/>
          <w:b w:val="0"/>
          <w:sz w:val="21"/>
        </w:rPr>
        <w:t>存储芯片板块7月2日集体跳水，多日累计蒸发市值逾1万亿美元。Micron从1,255美元的历史高位下跌6.4%至9%，一度触及1,060至1,080美元区间；SanDisk跌约10%至2,051.10美元，Western Digital跌7%至595.81美元，NVIDIA跌约2.5%；Nasdaq 100指数在下半年开局下跌约1%，此前上半年累涨20%。抛售的直接导火索是一桩反垄断诉讼——6月25日一起集体诉讼在加州联邦法院提起，援引Section 1 of the Sherman Act，指控三星、SK海力士与Micron合谋限制DRAM供给、导致价格四年内暴涨约700%，诉状称三家以向高带宽内存（HBM）转型为幌子、实则削减DDR3、DDR4等传统制式产能，三家合计控制全球约九成DRAM市场。获利了结是另一重压力，Micron本轮周期此前一度累涨逾240%；同日ADP 6月就业仅增9.8万人、低于预期，放大了需求担忧。抛售发生在SK海力士计划自7月10日启动约294亿美元Nasdaq IPO的敏感时点，Morgan Stanley仍维持对Micron的"增持"评级。 [1]</w:t>
      </w:r>
    </w:p>
    <w:p/>
    <w:p>
      <w:r>
        <w:rPr>
          <w:rFonts w:ascii="FangSong_GB2312" w:hAnsi="FangSong_GB2312" w:eastAsia="FangSong_GB2312"/>
          <w:b/>
          <w:sz w:val="24"/>
        </w:rPr>
        <w:t>2.美国弃约USMCA触发逐年审查，Meta转售AI算力股价涨9%</w:t>
      </w:r>
    </w:p>
    <w:p>
      <w:r>
        <w:rPr>
          <w:rFonts w:ascii="FangSong_GB2312" w:hAnsi="FangSong_GB2312" w:eastAsia="FangSong_GB2312"/>
          <w:b w:val="0"/>
          <w:sz w:val="21"/>
        </w:rPr>
        <w:t>特朗普政府在7月1日的截止日选择不续约《美墨加协定》（USMCA），放弃了将这份规模约2万亿美元的北美贸易协定再延续16年的选项。协定本身不会立即失效——除非成员国主动退出，它将继续存续，但触发逐年审查机制，为重新谈判核心条款打开大门，美方计划在7月20日当周与墨西哥举行第三轮谈判。科技板块另有一条主线：Meta（META）股价7月1日飙升约9%，市场消息称该公司正搭建云业务、以出售其过剩AI算力，这一转向让Meta从纯粹的AI资本开支方变为潜在的算力供给方——这则消息也成为次日亚洲芯片股抛售的导火索之一。货币政策信号同样贯穿当日行情：Fed主席Kevin Warsh在ECB辛特拉论坛（ECB Sintra Forum）上称通胀"太高"、未对7月会议给出任何暗示，令市场对宽松的期待进一步落空。 [2]</w:t>
      </w:r>
    </w:p>
    <w:p/>
    <w:p>
      <w:r>
        <w:rPr>
          <w:rFonts w:ascii="FangSong_GB2312" w:hAnsi="FangSong_GB2312" w:eastAsia="FangSong_GB2312"/>
          <w:b/>
          <w:sz w:val="24"/>
        </w:rPr>
        <w:t>3.OpenAI拟向美国政府无偿赠予5%股权，约合426亿美元</w:t>
      </w:r>
    </w:p>
    <w:p>
      <w:r>
        <w:rPr>
          <w:rFonts w:ascii="FangSong_GB2312" w:hAnsi="FangSong_GB2312" w:eastAsia="FangSong_GB2312"/>
          <w:b w:val="0"/>
          <w:sz w:val="21"/>
        </w:rPr>
        <w:t>OpenAI提议向美国政府无偿赠予公司5%的股权，以缓解华盛顿日益增长的政治压力；按其今年3月完成的8,520亿美元投后估值计算，这一5%股权约合426亿美元，CNBC与Bloomberg于7月2日证实了最先由FT披露的消息。CEO Sam Altman将此举定位为让公众分享AI上行收益的"财务权益"，据报道该方案借鉴阿拉斯加永久基金（Alaska Permanent Fund）模式——一家由石油收入注资、每年向居民派发红利的州有机构；方案设想中，Anthropic、Google、Meta等其他领先AI公司也可能通过类似主权财富基金载体向政府让渡等比例股权。Altman强调这是"赠予"而非"出售"，据报道他近期已就此与特朗普、商务部长卢特尼克（Howard Lutnick）、财政部长贝森特（Scott Bessent）及民主党参议员桑德斯（Bernie Sanders）等多方沟通；桑德斯明确反对，认为政府持股一家由自身监管的AI巨头存在利益冲突。这一姿态的背景，是华盛顿对AI模型网络安全隐患以及中国开源模型竞争的警惕不断升温。 [3]</w:t>
      </w:r>
    </w:p>
    <w:p/>
    <w:p>
      <w:r>
        <w:rPr>
          <w:rFonts w:ascii="FangSong_GB2312" w:hAnsi="FangSong_GB2312" w:eastAsia="FangSong_GB2312"/>
          <w:b/>
          <w:sz w:val="24"/>
        </w:rPr>
        <w:t>4.伯纳姆无对手迈向英国首相之位，斯塔默辞职引党魁更替</w:t>
      </w:r>
    </w:p>
    <w:p>
      <w:r>
        <w:rPr>
          <w:rFonts w:ascii="FangSong_GB2312" w:hAnsi="FangSong_GB2312" w:eastAsia="FangSong_GB2312"/>
          <w:b w:val="0"/>
          <w:sz w:val="21"/>
        </w:rPr>
        <w:t>截至7月2日，大曼彻斯特市长伯纳姆（Andy Burnham）是接替斯塔默出任工党党魁及首相的唯一已宣布参选人。伯纳姆6月18日以逾9200票优势赢得马克菲尔德（Makerfield）补选、取得议会席位，随即宣布挑战时任首相斯塔默；斯塔默6月22日宣布辞职，称党内已不再认为他是"带领我们赢得下届大选的最佳人选"。引爆危机的是工党5月惨淡的地方选举——在英格兰仅获约17%支持率、为该党历史最差。提名将于7月9日开启、16日截止，若无人挑战，伯纳姆最早可能自7月20日前后就任首相，那将是英国十年内第七位首相。财政部首席秘书琼斯（Darren Jones）向天空新闻表示参选"不是我要做的事"，但提醒新党魁必须"安抚市场、安抚工会、安抚议会工党"，前卫生大臣斯特里廷（Wes Streeting）已转而支持伯纳姆。伯纳姆6月29日在曼彻斯特提出"北方唐宁街"（No 10 North）构想：一项以放权为核心的增长计划，将部分政府职能迁往曼彻斯特，扩大对交通、供水和能源的公共掌控，称威斯敏斯特"已经失灵"。 [4]</w:t>
      </w:r>
    </w:p>
    <w:p/>
    <w:p>
      <w:r>
        <w:rPr>
          <w:rFonts w:ascii="FangSong_GB2312" w:hAnsi="FangSong_GB2312" w:eastAsia="FangSong_GB2312"/>
          <w:b/>
          <w:sz w:val="24"/>
        </w:rPr>
        <w:t>5.英国钢铁国有化法案闯过上议院委员会阶段</w:t>
      </w:r>
    </w:p>
    <w:p>
      <w:r>
        <w:rPr>
          <w:rFonts w:ascii="FangSong_GB2312" w:hAnsi="FangSong_GB2312" w:eastAsia="FangSong_GB2312"/>
          <w:b w:val="0"/>
          <w:sz w:val="21"/>
        </w:rPr>
        <w:t>《钢铁工业（国有化）法案》7月1日至2日在上议院通过委员会阶段，跨过一道关键立法门槛；该法案赋予政府在符合公共利益前提下国有化钢铁企业的权力，主要针对目前由中国敬业集团（Jingye Group）持有的英国钢铁公司（British Steel Limited）。法案背景可追溯至一年前的仓促救援：2025年4月议会从复活节休会中被紧急召回，当天通过《钢铁工业（特别措施）法案》，让政府得以接管斯肯索普（Scunthorpe）两座濒临关停的高炉——若停产，英国将成为G20中唯一不具备原生钢生产能力的国家；国家审计署估算，若支持延续至2028年，纳税人成本或达15亿英镑。委员会审议中，保守党夏普勋爵（Lord Sharpe of Epsom）提议将支出上限设为25亿英镑、期限至2029年8月，自由民主党福克斯勋爵（Lord Fox）则提议财政援助须经两院批准，工业大臣梁子光勋爵（Lord Leong）否决了两项修正案，认为支出上限和议会延迟会束缚政府快速应对商业局势的能力。法案将进入报告阶段；与之配套的一项自7月1日生效的贸易措施将20类产品免税钢材进口配额削减51%、对超配额进口征收50%关税，乌克兰不在措施之列。 [5]</w:t>
      </w:r>
    </w:p>
    <w:p/>
    <w:p>
      <w:r>
        <w:rPr>
          <w:rFonts w:ascii="FangSong_GB2312" w:hAnsi="FangSong_GB2312" w:eastAsia="FangSong_GB2312"/>
          <w:b/>
          <w:sz w:val="24"/>
        </w:rPr>
        <w:t>6.欧盟法院终审驳回谷歌上诉，维持41亿欧元安卓罚款</w:t>
      </w:r>
    </w:p>
    <w:p>
      <w:r>
        <w:rPr>
          <w:rFonts w:ascii="FangSong_GB2312" w:hAnsi="FangSong_GB2312" w:eastAsia="FangSong_GB2312"/>
          <w:b w:val="0"/>
          <w:sz w:val="21"/>
        </w:rPr>
        <w:t>欧盟法院（ECJ）7月2日驳回谷歌上诉，维持针对其安卓（Android）系统的41亿欧元罚款，判决书称法院"驳回谷歌与Alphabet提起的上诉，确认因其在安卓操作系统上的反竞争行为而处以的罚款"。罚款可追溯至2018年：当时欧盟委员会认定谷歌强制手机厂商预装谷歌搜索与Chrome浏览器、并将谷歌搜索设为默认，滥用市场支配地位，开出43亿欧元的天价罚单；2022年普通法院（General Court）将罚款下调至41亿欧元、但维持违法认定。此番欧盟法院一锤定音，为这场持续八年的诉讼画上句号。谷歌另在2025年因广告技术业务遭欧盟29.5亿欧元罚款。 [6]</w:t>
      </w:r>
    </w:p>
    <w:p/>
    <w:p>
      <w:r>
        <w:rPr>
          <w:rFonts w:ascii="FangSong_GB2312" w:hAnsi="FangSong_GB2312" w:eastAsia="FangSong_GB2312"/>
          <w:b/>
          <w:sz w:val="24"/>
        </w:rPr>
        <w:t>7.德国执政联盟达成改革方案，年减税约100亿欧元</w:t>
      </w:r>
    </w:p>
    <w:p>
      <w:r>
        <w:rPr>
          <w:rFonts w:ascii="FangSong_GB2312" w:hAnsi="FangSong_GB2312" w:eastAsia="FangSong_GB2312"/>
          <w:b w:val="0"/>
          <w:sz w:val="21"/>
        </w:rPr>
        <w:t>德国基民盟/基社盟与社民党（CDU/CSU-SPD）执政联盟就一揽子约34项措施的改革方案达成一致，核心是每年约100亿欧元的减税，并采纳了养老金委员会33项建议中的绝大部分。这一突破由总理默茨（Friedrich Merz）领导的联合政府促成，财政部长克林拜尔（Lars Klingbeil）、联邦议院议长巴斯（Bärbel Bas）与基社盟主席泽德（Markus Söder）均参与协调。方案化解了联盟内部围绕税收与养老金改革的长期分歧，为默茨政府推进立法议程扫清了一大障碍。 [7]</w:t>
      </w:r>
    </w:p>
    <w:p/>
    <w:p>
      <w:r>
        <w:rPr>
          <w:rFonts w:ascii="FangSong_GB2312" w:hAnsi="FangSong_GB2312" w:eastAsia="FangSong_GB2312"/>
          <w:b/>
          <w:sz w:val="24"/>
        </w:rPr>
        <w:t>8.王毅同鲁比奥通话，敦促美方审慎处理台湾问题</w:t>
      </w:r>
    </w:p>
    <w:p>
      <w:r>
        <w:rPr>
          <w:rFonts w:ascii="FangSong_GB2312" w:hAnsi="FangSong_GB2312" w:eastAsia="FangSong_GB2312"/>
          <w:b w:val="0"/>
          <w:sz w:val="21"/>
        </w:rPr>
        <w:t>中国外交部长王毅在与美国国务卿鲁比奥（Marco Rubio）通话时，敦促美方以"最大的审慎"处理台湾问题，并称"台湾问题上稍有闪失，就可能牵动全局"——这是自特朗普5月中旬访华以来，中美两国首次公开的内阁级别沟通。王毅表示中美应坚持构建"建设性、战略稳定的关系"，呼吁双方"排除干扰、克服障碍"，并重申今年5月习近平在北京与特朗普会晤时达成的共识为未来一段时期双边关系定下方向；当时习近平曾警告特朗普，若在台湾问题上处理失当、可能将两国关系推向"极其危险的境地"。中方将此次通话定性为"积极、建设性的"，台湾问题近月来持续被北京定位为中美关系中最大的风险点。 [8]</w:t>
      </w:r>
    </w:p>
    <w:p/>
    <w:p>
      <w:r>
        <w:rPr>
          <w:rFonts w:ascii="FangSong_GB2312" w:hAnsi="FangSong_GB2312" w:eastAsia="FangSong_GB2312"/>
          <w:b/>
          <w:sz w:val="24"/>
        </w:rPr>
        <w:t>9.欧盟对华逆差扩至980亿欧元，双轨反制措施7月1日生效</w:t>
      </w:r>
    </w:p>
    <w:p>
      <w:r>
        <w:rPr>
          <w:rFonts w:ascii="FangSong_GB2312" w:hAnsi="FangSong_GB2312" w:eastAsia="FangSong_GB2312"/>
          <w:b w:val="0"/>
          <w:sz w:val="21"/>
        </w:rPr>
        <w:t>2026年第一季度欧盟对华货物贸易逆差达980亿欧元，为2022年第三季度以来最高，背后是该季度欧盟自华进口环比升3.4%、对华出口降4.8%的反向走势。作为回应，欧盟自7月1日起启动新的贸易防御措施：其一收紧进口钢材免税配额，将其设为每年1830万公吨、并对26类钢材超配额部分征收50%关税；其二对小额包裹加征3欧元关务费，直指中国电商——欧盟委员会称2025年进入欧盟的小额包裹达59亿件、远高于2022年的约14亿件，Temu和Shein等中国电商掌控约90%此类贸易。与关税手段并行，中欧已同意就贸易失衡及出口管制启动部长级对话：该机制6月29日在布鲁塞尔正式启动，由中国商务部部长王文涛与欧盟贸易与经济安全委员谢夫乔维奇（Maros Sefcovic）共同主持，中方已邀请欧盟贸易主管今秋访华举行第二次会议，欧方希望在今年10月前取得实质性成果，构成布鲁塞尔"谈判加防御"的双轨策略。 [9]</w:t>
      </w:r>
    </w:p>
    <w:p/>
    <w:p>
      <w:r>
        <w:rPr>
          <w:rFonts w:ascii="FangSong_GB2312" w:hAnsi="FangSong_GB2312" w:eastAsia="FangSong_GB2312"/>
          <w:b/>
          <w:sz w:val="24"/>
        </w:rPr>
        <w:t>10.日元逼近40年低点，交易员开始推演贬至200的极端情景</w:t>
      </w:r>
    </w:p>
    <w:p>
      <w:r>
        <w:rPr>
          <w:rFonts w:ascii="FangSong_GB2312" w:hAnsi="FangSong_GB2312" w:eastAsia="FangSong_GB2312"/>
          <w:b w:val="0"/>
          <w:sz w:val="21"/>
        </w:rPr>
        <w:t>日元7月1日跌至1美元兑162.66日元、刷新1986年以来最弱纪录，市场上开始流传一个曾经不可想象的数字：200；7月2日东京午盘日元徘徊在162.50附近，一些交易员已把1美元兑200日元当作中期"尾部风险"来讨论。分析师普遍将162至163区间视为财务省可能再度出手干预的触发带，尤其考虑到美国独立日假期前后市场流动性趋薄。日本财务省负责国际事务的副大臣三村淳（Atsushi Mimura）表示两个月前东京的干预"确实有意义"，并强调正与华盛顿保持密切沟通——日本曾在4月下旬至5月上旬投入创纪录的11.7万亿日元（约720亿美元）干预汇市，日元一度回升至155附近，但即便6月16日日本银行加息、涨幅仍被逐步吞没。日元疲软已把弱小进口商推向破产：据东京商工调查，2026年上半年因日元疲软直接破产的企业达45家、同比激增32.3%，为2022年开始追踪以来上半年最高，其中批发业占51.1%。资本经济学（Capital Economics）警告，只要日美结构性利差不变，官方买入日元大概率只是"一个减速带"。 [10]</w:t>
      </w:r>
    </w:p>
    <w:p/>
    <w:p>
      <w:r>
        <w:rPr>
          <w:rFonts w:ascii="FangSong_GB2312" w:hAnsi="FangSong_GB2312" w:eastAsia="FangSong_GB2312"/>
          <w:b/>
          <w:sz w:val="24"/>
        </w:rPr>
        <w:t>11.日本批准3873亿日元开发主权AI，目标2040年部署千万机器人</w:t>
      </w:r>
    </w:p>
    <w:p>
      <w:r>
        <w:rPr>
          <w:rFonts w:ascii="FangSong_GB2312" w:hAnsi="FangSong_GB2312" w:eastAsia="FangSong_GB2312"/>
          <w:b w:val="0"/>
          <w:sz w:val="21"/>
        </w:rPr>
        <w:t>面对严峻的人口萎缩，日本经济产业省（METI）已批准3873亿日元开发资金，支持由软银（SoftBank）与索尼（Sony）牵头的联盟Noetra，开发一款可同时读取语言、图像、视频与传感器数据的多模态基础大模型，视成果而定政府未来五年最多可再提供1万亿日元（约61亿美元）；参与投资的企业预计增至44家，覆盖汽车、电子、制造、金融、物流等行业。产业相赤泽亮正（Ryosei Akazawa）表示，战略目标是到2040年"部署约1000万台机器人"，铺开至餐饮、食品制造、医疗等18个领域，重点押注"物理AI"。这背后是日本冰冷的人口曲线：预计从当前的1.2298亿人降至2050年的约8700万人；METI希望到2040年日本能拿下全球AI机器人市场30%以上的份额。这一AI计划是日本6月下旬公布的14年增长战略的一部分，该战略瞄准17个战略领域、共计370万亿日元（约2.3万亿美元）的政府与民间投资。 [11]</w:t>
      </w:r>
    </w:p>
    <w:p/>
    <w:p>
      <w:r>
        <w:rPr>
          <w:rFonts w:ascii="FangSong_GB2312" w:hAnsi="FangSong_GB2312" w:eastAsia="FangSong_GB2312"/>
          <w:b/>
          <w:sz w:val="24"/>
        </w:rPr>
        <w:t>12.KOSPI暴跌6.2%触发熔断，芯片股遭抛售</w:t>
      </w:r>
    </w:p>
    <w:p>
      <w:r>
        <w:rPr>
          <w:rFonts w:ascii="FangSong_GB2312" w:hAnsi="FangSong_GB2312" w:eastAsia="FangSong_GB2312"/>
          <w:b w:val="0"/>
          <w:sz w:val="21"/>
        </w:rPr>
        <w:t>韩国综合股价指数（KOSPI）7月2日上午9时15分暴跌517.25点（6.23%）至7,790.16点，盘中一度探至7,723.57点；开盘即重挫4.46%，9时07分触发卖方"熔断"（sidecar）机制、程序化交易被暂停五分钟，KOSPI 200期货指数同步下跌6.05%。引爆抛售的导火索来自大洋彼岸：彭博社报道Meta正考虑推出云服务、向外部出售过剩AI算力，虽令Meta股价大涨逾一成，却引发市场对AI算力供给过剩、芯片需求见顶的担忧，隔夜费城半导体指数重挫6.27%、美光跌10.57%、英特尔跌9.03%。恐慌迅速传导至严重依赖半导体的韩股：三星电子跌6.84%至293,000韩元，SK海力士跌8.01%至235.5万韩元，SK Square重挫10.23%，现代汽车跌5.33%；当日外资在主板净卖出4.52万亿韩元，散户逆势买入3.31万亿韩元。Fed主席沃什（Kevin Warsh）令7月降息预期降温，进一步压制风险偏好，韩元汇率微升至1美元兑1,554.3韩元。 [12]</w:t>
      </w:r>
    </w:p>
    <w:p/>
    <w:p>
      <w:r>
        <w:rPr>
          <w:rFonts w:ascii="FangSong_GB2312" w:hAnsi="FangSong_GB2312" w:eastAsia="FangSong_GB2312"/>
          <w:b/>
          <w:sz w:val="24"/>
        </w:rPr>
        <w:t>13.三星、SK海力士、赛特瑞恩联手在忠清投资392万亿韩元</w:t>
      </w:r>
    </w:p>
    <w:p>
      <w:r>
        <w:rPr>
          <w:rFonts w:ascii="FangSong_GB2312" w:hAnsi="FangSong_GB2312" w:eastAsia="FangSong_GB2312"/>
          <w:b w:val="0"/>
          <w:sz w:val="21"/>
        </w:rPr>
        <w:t>三星集团、SK海力士与赛特瑞恩（Celltrion）7月2日宣布，将在韩国忠清地区合计投资392万亿韩元（约2,520亿美元），涵盖HBM晶圆厂、NAND闪存、显示面板与AI数据中心。三星集团承诺投入140万亿韩元：三星电子在牙山温阳洞与天安投入56万亿韩元建HBM晶圆与封装产线，三星显示在牙山投入67万亿韩元建OLED产线，三星电机在世宗投入8万亿韩元建封装基板，三星SDI在天安投入9万亿韩元建电池产能，预计创造约25万个就业岗位；SK海力士承诺投入100万亿韩元，其中80万亿韩元用于清州M17 NAND闪存工厂、20万亿韩元用于P&amp;T7先进封装厂；赛特瑞恩在忠清北道投入2万亿韩元建生物制药设施，其余企业合计投资150万亿韩元、多集中于AI数据中心。三星电子会长李在镕（Lee Jae-yong）称该地区"将持续实现更大增长"，总统李在明称"忠清拥有无限增长潜力"，政府同步推出包含七大板块的支持计划及"超级特区"配套。 [13]</w:t>
      </w:r>
    </w:p>
    <w:p/>
    <w:p>
      <w:r>
        <w:rPr>
          <w:rFonts w:ascii="FangSong_GB2312" w:hAnsi="FangSong_GB2312" w:eastAsia="FangSong_GB2312"/>
          <w:b/>
          <w:sz w:val="24"/>
        </w:rPr>
        <w:t>14.SK海力士递交F-1/A文件，拟纳斯达克募资至多296亿美元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SK海力士（SK hynix Inc.）7月2日前后向美国证券交易委员会（SEC）递交修订后的F-1/A注册文件，计划以"SKHY"为代码在纳斯达克全球精选市场挂牌发行美国存托凭证（ADR），拟发行1,779万股新普通股、约占已发行股份的2.5%，预计募资规模至多达45.45万亿韩元（296.5亿美元）——这将成为史上最大规模的ADR发行，超越阿里巴巴2014年在纽约上市时创下的218亿美元纪录。按计划注册于7月6日生效、簿记建档同日启动，7月9日至10日定价，ADR于7月10日在纳斯达克开始交易，新发韩国股份则于7月29日在韩国交易所（KRX）挂牌；承销团由美国银行、花旗、高盛与摩根大通组成。募集所得的55.92万亿韩元将主要投向资本开支，包括龙仁集群一期（9.41万亿韩元）、龙仁二至六期（21.61万亿韩元）、清州P&amp;T7（19万亿韩元）及印第安纳封装厂（5.9万亿韩元）。乘着AI存储需求东风，SK海力士市值年内已飙升约300%，一举超越三星电子登顶韩国市值榜首。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https://www.cnbc.com/2026/07/02/samsung-sk-hynix-shares-slide-kospi-tech-selloff-nasdaq.html</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https://www.cnbc.com/2026/07/01/trump-usmca-canada-mexico-trade-treaty.html</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https://www.cnbc.com/2026/07/02/openai-proposes-us-government-own-5percent-stake-to-address-political-blowback.html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https://www.pbs.org/newshour/world/andy-burnham-prepares-for-a-uk-labour-leadership-contest-that-may-be-a-coronation</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https://bills.parliament.uk/bills/4123</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https://www.euronews.com/my-europe/2026/07/02/eu-court-of-justice-rejects-googles-appeal-against-record-41-billion-fine</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https://www.aljazeera.com/news/2026/7/2/german-coalition-agrees-on-sweeping-reform-package-in-key-breakthrough</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https://www.scmp.com/news/china/diplomacy/article/3359077/chinas-wang-yi-warns-marco-rubio-approach-taiwan-affairs-utmost-caution</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https://asia.nikkei.com/economy/trade/are-the-eu-and-china-heading-for-a-trade-war-5-things-to-know</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https://www.japantimes.co.jp/business/2026/07/02/markets/traders-yen-worst-case-scenario/</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https://www.japantimes.co.jp/news/2026/07/01/japan/japan-ai-plans/</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https://www.koreajoongangdaily.com/business/kospi-opens-sharply-lower-on-us-tech-losses-triggers-sellside-sidecar/12751471</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https://www.koreajoongangdaily.com/business/samsung-sk-hynix-and-celltrion-to-invest-a-combined-392-trillion-won-in-chungcheong-region/12751907</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https://www.sec.gov/Archives/edgar/data/0002120882/000119312526289345/d32785df1a.htm</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