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A79FC">
      <w:pPr>
        <w:pStyle w:val="2"/>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bCs/>
          <w:i w:val="0"/>
          <w:iCs w:val="0"/>
          <w:color w:val="333333"/>
          <w:spacing w:val="0"/>
          <w:w w:val="100"/>
          <w:sz w:val="30"/>
          <w:szCs w:val="30"/>
          <w:vertAlign w:val="baseline"/>
        </w:rPr>
        <w:t>政策清单1发改部门投资管理类</w:t>
      </w:r>
    </w:p>
    <w:tbl>
      <w:tblPr>
        <w:tblStyle w:val="4"/>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1"/>
        <w:gridCol w:w="1187"/>
        <w:gridCol w:w="1419"/>
        <w:gridCol w:w="10446"/>
      </w:tblGrid>
      <w:tr w14:paraId="0BAC4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rPr>
        <w:tc>
          <w:tcPr>
            <w:tcW w:w="392" w:type="pct"/>
            <w:tcBorders>
              <w:top w:val="single" w:color="000000" w:sz="8" w:space="0"/>
              <w:left w:val="single" w:color="000000" w:sz="8" w:space="0"/>
              <w:bottom w:val="single" w:color="000000" w:sz="8" w:space="0"/>
              <w:right w:val="single" w:color="000000" w:sz="8" w:space="0"/>
            </w:tcBorders>
            <w:shd w:val="clear" w:color="auto" w:fill="D8D8D8"/>
            <w:tcMar>
              <w:top w:w="0" w:type="dxa"/>
              <w:left w:w="108" w:type="dxa"/>
              <w:bottom w:w="0" w:type="dxa"/>
              <w:right w:w="108" w:type="dxa"/>
            </w:tcMar>
            <w:vAlign w:val="bottom"/>
          </w:tcPr>
          <w:p w14:paraId="6109CF40">
            <w:pPr>
              <w:pStyle w:val="3"/>
              <w:keepNext w:val="0"/>
              <w:keepLines w:val="0"/>
              <w:widowControl/>
              <w:suppressLineNumbers w:val="0"/>
              <w:spacing w:before="0" w:beforeAutospacing="0" w:after="0" w:afterAutospacing="0" w:line="15" w:lineRule="atLeast"/>
              <w:ind w:left="0" w:right="0"/>
              <w:jc w:val="center"/>
              <w:rPr>
                <w:rFonts w:hint="eastAsia" w:eastAsiaTheme="minorEastAsia"/>
                <w:b/>
                <w:bCs/>
                <w:lang w:val="en-US" w:eastAsia="zh-CN"/>
              </w:rPr>
            </w:pPr>
            <w:r>
              <w:rPr>
                <w:rFonts w:hint="eastAsia" w:ascii="微软雅黑" w:hAnsi="微软雅黑" w:eastAsia="微软雅黑" w:cs="微软雅黑"/>
                <w:b/>
                <w:bCs/>
                <w:i w:val="0"/>
                <w:iCs w:val="0"/>
                <w:color w:val="333333"/>
                <w:spacing w:val="0"/>
                <w:w w:val="100"/>
                <w:sz w:val="22"/>
                <w:szCs w:val="22"/>
                <w:vertAlign w:val="baseline"/>
                <w:lang w:val="en-US" w:eastAsia="zh-CN"/>
              </w:rPr>
              <w:t>板块</w:t>
            </w:r>
          </w:p>
        </w:tc>
        <w:tc>
          <w:tcPr>
            <w:tcW w:w="419" w:type="pct"/>
            <w:tcBorders>
              <w:top w:val="single" w:color="000000" w:sz="8" w:space="0"/>
              <w:left w:val="single" w:color="000000" w:sz="8" w:space="0"/>
              <w:bottom w:val="single" w:color="000000" w:sz="8" w:space="0"/>
              <w:right w:val="single" w:color="000000" w:sz="8" w:space="0"/>
            </w:tcBorders>
            <w:shd w:val="clear" w:color="auto" w:fill="D8D8D8"/>
            <w:tcMar>
              <w:top w:w="0" w:type="dxa"/>
              <w:left w:w="108" w:type="dxa"/>
              <w:bottom w:w="0" w:type="dxa"/>
              <w:right w:w="108" w:type="dxa"/>
            </w:tcMar>
            <w:vAlign w:val="bottom"/>
          </w:tcPr>
          <w:p w14:paraId="49112AF1">
            <w:pPr>
              <w:pStyle w:val="3"/>
              <w:keepNext w:val="0"/>
              <w:keepLines w:val="0"/>
              <w:widowControl/>
              <w:suppressLineNumbers w:val="0"/>
              <w:spacing w:before="0" w:beforeAutospacing="0" w:after="0" w:afterAutospacing="0" w:line="15" w:lineRule="atLeast"/>
              <w:ind w:left="0" w:right="0"/>
              <w:jc w:val="center"/>
              <w:rPr>
                <w:b/>
                <w:bCs/>
              </w:rPr>
            </w:pPr>
            <w:r>
              <w:rPr>
                <w:rFonts w:hint="eastAsia" w:ascii="微软雅黑" w:hAnsi="微软雅黑" w:eastAsia="微软雅黑" w:cs="微软雅黑"/>
                <w:b/>
                <w:bCs/>
                <w:i w:val="0"/>
                <w:iCs w:val="0"/>
                <w:color w:val="333333"/>
                <w:spacing w:val="0"/>
                <w:w w:val="100"/>
                <w:sz w:val="22"/>
                <w:szCs w:val="22"/>
                <w:vertAlign w:val="baseline"/>
              </w:rPr>
              <w:t>大类</w:t>
            </w:r>
          </w:p>
        </w:tc>
        <w:tc>
          <w:tcPr>
            <w:tcW w:w="500" w:type="pct"/>
            <w:tcBorders>
              <w:top w:val="single" w:color="000000" w:sz="8" w:space="0"/>
              <w:left w:val="single" w:color="000000" w:sz="2" w:space="0"/>
              <w:bottom w:val="single" w:color="000000" w:sz="8" w:space="0"/>
              <w:right w:val="single" w:color="000000" w:sz="8" w:space="0"/>
            </w:tcBorders>
            <w:shd w:val="clear" w:color="auto" w:fill="D8D8D8"/>
            <w:tcMar>
              <w:top w:w="0" w:type="dxa"/>
              <w:left w:w="108" w:type="dxa"/>
              <w:bottom w:w="0" w:type="dxa"/>
              <w:right w:w="108" w:type="dxa"/>
            </w:tcMar>
            <w:vAlign w:val="bottom"/>
          </w:tcPr>
          <w:p w14:paraId="1F64D7C5">
            <w:pPr>
              <w:pStyle w:val="3"/>
              <w:keepNext w:val="0"/>
              <w:keepLines w:val="0"/>
              <w:widowControl/>
              <w:suppressLineNumbers w:val="0"/>
              <w:spacing w:before="0" w:beforeAutospacing="0" w:after="0" w:afterAutospacing="0" w:line="15" w:lineRule="atLeast"/>
              <w:ind w:left="0" w:right="0"/>
              <w:jc w:val="center"/>
              <w:rPr>
                <w:b/>
                <w:bCs/>
              </w:rPr>
            </w:pPr>
            <w:r>
              <w:rPr>
                <w:rFonts w:hint="eastAsia" w:ascii="微软雅黑" w:hAnsi="微软雅黑" w:eastAsia="微软雅黑" w:cs="微软雅黑"/>
                <w:b/>
                <w:bCs/>
                <w:i w:val="0"/>
                <w:iCs w:val="0"/>
                <w:color w:val="333333"/>
                <w:spacing w:val="0"/>
                <w:w w:val="100"/>
                <w:sz w:val="22"/>
                <w:szCs w:val="22"/>
                <w:vertAlign w:val="baseline"/>
              </w:rPr>
              <w:t>小类</w:t>
            </w:r>
          </w:p>
        </w:tc>
        <w:tc>
          <w:tcPr>
            <w:tcW w:w="3687" w:type="pct"/>
            <w:tcBorders>
              <w:top w:val="single" w:color="000000" w:sz="8" w:space="0"/>
              <w:left w:val="single" w:color="000000" w:sz="2" w:space="0"/>
              <w:bottom w:val="single" w:color="000000" w:sz="8" w:space="0"/>
              <w:right w:val="single" w:color="000000" w:sz="8" w:space="0"/>
            </w:tcBorders>
            <w:shd w:val="clear" w:color="auto" w:fill="D8D8D8"/>
            <w:tcMar>
              <w:top w:w="0" w:type="dxa"/>
              <w:left w:w="108" w:type="dxa"/>
              <w:bottom w:w="0" w:type="dxa"/>
              <w:right w:w="108" w:type="dxa"/>
            </w:tcMar>
            <w:vAlign w:val="bottom"/>
          </w:tcPr>
          <w:p w14:paraId="220D7B7F">
            <w:pPr>
              <w:pStyle w:val="3"/>
              <w:keepNext w:val="0"/>
              <w:keepLines w:val="0"/>
              <w:widowControl/>
              <w:suppressLineNumbers w:val="0"/>
              <w:spacing w:before="0" w:beforeAutospacing="0" w:after="0" w:afterAutospacing="0" w:line="15" w:lineRule="atLeast"/>
              <w:ind w:left="0" w:right="0"/>
              <w:jc w:val="center"/>
              <w:rPr>
                <w:b/>
                <w:bCs/>
              </w:rPr>
            </w:pPr>
            <w:r>
              <w:rPr>
                <w:rFonts w:hint="eastAsia" w:ascii="微软雅黑" w:hAnsi="微软雅黑" w:eastAsia="微软雅黑" w:cs="微软雅黑"/>
                <w:b/>
                <w:bCs/>
                <w:i w:val="0"/>
                <w:iCs w:val="0"/>
                <w:color w:val="333333"/>
                <w:spacing w:val="0"/>
                <w:w w:val="100"/>
                <w:sz w:val="22"/>
                <w:szCs w:val="22"/>
                <w:vertAlign w:val="baseline"/>
              </w:rPr>
              <w:t>政策列表</w:t>
            </w:r>
          </w:p>
        </w:tc>
      </w:tr>
      <w:tr w14:paraId="47367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0" w:hRule="atLeast"/>
        </w:trPr>
        <w:tc>
          <w:tcPr>
            <w:tcW w:w="1312" w:type="pct"/>
            <w:gridSpan w:val="3"/>
            <w:tcBorders>
              <w:top w:val="single" w:color="000000" w:sz="8"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02B2E9CC">
            <w:pPr>
              <w:pStyle w:val="3"/>
              <w:keepNext w:val="0"/>
              <w:keepLines w:val="0"/>
              <w:widowControl/>
              <w:suppressLineNumbers w:val="0"/>
              <w:spacing w:before="0" w:beforeAutospacing="0" w:after="0" w:afterAutospacing="0" w:line="15" w:lineRule="atLeast"/>
              <w:ind w:left="0" w:right="0"/>
              <w:jc w:val="center"/>
            </w:pPr>
            <w:r>
              <w:rPr>
                <w:rFonts w:ascii="仿宋_GB2312" w:eastAsia="仿宋_GB2312" w:cs="仿宋_GB2312"/>
                <w:b w:val="0"/>
                <w:bCs w:val="0"/>
                <w:i w:val="0"/>
                <w:iCs w:val="0"/>
                <w:color w:val="333333"/>
                <w:spacing w:val="0"/>
                <w:w w:val="100"/>
                <w:sz w:val="24"/>
                <w:szCs w:val="24"/>
                <w:vertAlign w:val="baseline"/>
              </w:rPr>
              <w:t>（1）</w:t>
            </w:r>
            <w:r>
              <w:rPr>
                <w:rFonts w:hint="eastAsia" w:ascii="仿宋_GB2312" w:eastAsia="仿宋_GB2312" w:cs="仿宋_GB2312"/>
                <w:b w:val="0"/>
                <w:bCs w:val="0"/>
                <w:i w:val="0"/>
                <w:iCs w:val="0"/>
                <w:color w:val="000000"/>
                <w:spacing w:val="0"/>
                <w:w w:val="100"/>
                <w:sz w:val="24"/>
                <w:szCs w:val="24"/>
                <w:vertAlign w:val="baseline"/>
              </w:rPr>
              <w:t>投资决策制度</w:t>
            </w:r>
          </w:p>
        </w:tc>
        <w:tc>
          <w:tcPr>
            <w:tcW w:w="3687" w:type="pct"/>
            <w:tcBorders>
              <w:top w:val="single" w:color="000000" w:sz="8"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bottom"/>
          </w:tcPr>
          <w:p w14:paraId="134DFE06">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《政府投资条例》（国务院令712号）</w:t>
            </w:r>
          </w:p>
          <w:p w14:paraId="4B1E861A">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《国务院关于投资体制改革的决定》（国发〔2004〕20号）</w:t>
            </w:r>
          </w:p>
          <w:p w14:paraId="186B44F6">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《中共中央 国务院关于深化投融资体制改革的意见》（中发〔2016〕18号）</w:t>
            </w:r>
          </w:p>
          <w:p w14:paraId="2B97E469">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《投资项目可行性研究报告编写大纲及说明》（发改投资规〔2023〕304号）</w:t>
            </w:r>
          </w:p>
          <w:p w14:paraId="1A138D14">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262626"/>
                <w:spacing w:val="0"/>
                <w:w w:val="100"/>
                <w:sz w:val="24"/>
                <w:szCs w:val="24"/>
                <w:vertAlign w:val="baseline"/>
              </w:rPr>
              <w:t>《国务院办公厅关于深化投资审批制度改革的意见》（</w:t>
            </w:r>
            <w:r>
              <w:rPr>
                <w:rFonts w:hint="eastAsia" w:ascii="仿宋_GB2312" w:eastAsia="仿宋_GB2312" w:cs="仿宋_GB2312"/>
                <w:b w:val="0"/>
                <w:bCs w:val="0"/>
                <w:i w:val="0"/>
                <w:iCs w:val="0"/>
                <w:color w:val="262626"/>
                <w:spacing w:val="0"/>
                <w:w w:val="100"/>
                <w:sz w:val="24"/>
                <w:szCs w:val="24"/>
                <w:shd w:val="clear" w:fill="FFFFFF"/>
                <w:vertAlign w:val="baseline"/>
              </w:rPr>
              <w:t>国办发〔2026〕13号</w:t>
            </w:r>
            <w:r>
              <w:rPr>
                <w:rFonts w:hint="eastAsia" w:ascii="仿宋_GB2312" w:eastAsia="仿宋_GB2312" w:cs="仿宋_GB2312"/>
                <w:b w:val="0"/>
                <w:bCs w:val="0"/>
                <w:i w:val="0"/>
                <w:iCs w:val="0"/>
                <w:color w:val="262626"/>
                <w:spacing w:val="0"/>
                <w:w w:val="100"/>
                <w:sz w:val="24"/>
                <w:szCs w:val="24"/>
                <w:vertAlign w:val="baseline"/>
              </w:rPr>
              <w:t>）</w:t>
            </w:r>
          </w:p>
          <w:p w14:paraId="3B3EE53D">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《国家发展改革委投资咨询评估管理办法》（发改投资规〔2022〕632号）</w:t>
            </w:r>
          </w:p>
          <w:p w14:paraId="4BD2BEC0">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《广东省省级政府投资管理办法》（粤府〔2023〕93号）</w:t>
            </w:r>
          </w:p>
          <w:p w14:paraId="7F6AC1D2">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《广东省人民政府办公厅印发广东省关于进一步深化投融资体制改革若干举措的通知》（粤府办〔2025〕8号）</w:t>
            </w:r>
          </w:p>
          <w:p w14:paraId="353F2D39">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《广东省发展改革委关于对投资项目立项阶段审批事项实行同步办理联合审查的通知》（粤发改规〔2017〕8号）</w:t>
            </w:r>
          </w:p>
          <w:p w14:paraId="24FD62F6">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《深圳市政府投资项目策划生成管理办法》（深府规〔2020〕6号）</w:t>
            </w:r>
          </w:p>
          <w:p w14:paraId="75C1D3CE">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《深圳市2026年政府投资项目计划》（市发改委 无文号）</w:t>
            </w:r>
          </w:p>
        </w:tc>
      </w:tr>
      <w:tr w14:paraId="1219C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5" w:hRule="atLeast"/>
        </w:trPr>
        <w:tc>
          <w:tcPr>
            <w:tcW w:w="392" w:type="pct"/>
            <w:vMerge w:val="restart"/>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5847F802">
            <w:pPr>
              <w:pStyle w:val="3"/>
              <w:keepNext w:val="0"/>
              <w:keepLines w:val="0"/>
              <w:widowControl/>
              <w:suppressLineNumbers w:val="0"/>
              <w:spacing w:before="0" w:beforeAutospacing="0" w:after="0" w:afterAutospacing="0" w:line="15" w:lineRule="atLeast"/>
              <w:ind w:left="0" w:right="0"/>
              <w:jc w:val="center"/>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（2）资金安排制度</w:t>
            </w:r>
          </w:p>
        </w:tc>
        <w:tc>
          <w:tcPr>
            <w:tcW w:w="419" w:type="pct"/>
            <w:vMerge w:val="restart"/>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5A82F550">
            <w:pPr>
              <w:pStyle w:val="3"/>
              <w:keepNext w:val="0"/>
              <w:keepLines w:val="0"/>
              <w:widowControl/>
              <w:suppressLineNumbers w:val="0"/>
              <w:spacing w:before="0" w:beforeAutospacing="0" w:after="0" w:afterAutospacing="0" w:line="15" w:lineRule="atLeast"/>
              <w:ind w:left="0" w:right="0"/>
              <w:jc w:val="center"/>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A政府财政资金</w:t>
            </w:r>
          </w:p>
        </w:tc>
        <w:tc>
          <w:tcPr>
            <w:tcW w:w="500"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94BFF7C">
            <w:pPr>
              <w:pStyle w:val="3"/>
              <w:keepNext w:val="0"/>
              <w:keepLines w:val="0"/>
              <w:widowControl/>
              <w:suppressLineNumbers w:val="0"/>
              <w:spacing w:before="0" w:beforeAutospacing="0" w:after="0" w:afterAutospacing="0" w:line="15" w:lineRule="atLeast"/>
              <w:ind w:left="0" w:right="0"/>
              <w:jc w:val="center"/>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A1中央预算内投资</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9E44A13">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333333"/>
                <w:spacing w:val="0"/>
                <w:w w:val="100"/>
                <w:sz w:val="24"/>
                <w:szCs w:val="24"/>
                <w:shd w:val="clear" w:fill="FFFFFF"/>
                <w:vertAlign w:val="baseline"/>
              </w:rPr>
              <w:t>《中央预算内投资计划管理办法》发改投资规〔2025〕1728号</w:t>
            </w:r>
            <w:r>
              <w:rPr>
                <w:rFonts w:ascii="楷体" w:hAnsi="楷体" w:eastAsia="楷体" w:cs="楷体"/>
                <w:b w:val="0"/>
                <w:bCs w:val="0"/>
                <w:i w:val="0"/>
                <w:iCs w:val="0"/>
                <w:color w:val="333333"/>
                <w:spacing w:val="0"/>
                <w:w w:val="100"/>
                <w:sz w:val="24"/>
                <w:szCs w:val="24"/>
                <w:shd w:val="clear" w:fill="FFFFFF"/>
                <w:vertAlign w:val="baseline"/>
              </w:rPr>
              <w:t xml:space="preserve">  </w:t>
            </w:r>
          </w:p>
          <w:p w14:paraId="08FD44C4">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《中央预算内直接投资项目管理办法》（国家发展和改革委员会令2014年第7号，2023年修订）</w:t>
            </w:r>
          </w:p>
          <w:p w14:paraId="0D2D2A40">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《中央预算内投资资本金注入项目管理办法》国家发改委令第44号 2021年</w:t>
            </w:r>
          </w:p>
          <w:p w14:paraId="7DF788B5">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《关于规范中央预算内投资资金安排方式及项目管理的通知》发改投资规〔2020〕518号2020年</w:t>
            </w:r>
          </w:p>
          <w:p w14:paraId="1F5B3D22">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《中央预算内投资项目监督管理办法》（国家发改委令第10号23年）</w:t>
            </w:r>
          </w:p>
        </w:tc>
      </w:tr>
      <w:tr w14:paraId="0B3AF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25" w:hRule="atLeast"/>
        </w:trPr>
        <w:tc>
          <w:tcPr>
            <w:tcW w:w="392"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7CF0AD09">
            <w:pPr>
              <w:jc w:val="center"/>
              <w:rPr>
                <w:rFonts w:hint="eastAsia" w:ascii="宋体"/>
                <w:sz w:val="24"/>
                <w:szCs w:val="24"/>
              </w:rPr>
            </w:pPr>
          </w:p>
        </w:tc>
        <w:tc>
          <w:tcPr>
            <w:tcW w:w="419"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2030CA01">
            <w:pPr>
              <w:jc w:val="center"/>
              <w:rPr>
                <w:rFonts w:hint="eastAsia" w:ascii="宋体"/>
                <w:sz w:val="24"/>
                <w:szCs w:val="24"/>
              </w:rPr>
            </w:pPr>
          </w:p>
        </w:tc>
        <w:tc>
          <w:tcPr>
            <w:tcW w:w="500"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8B272F2">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A2省级专项资金</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7DC5DCE0">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《国家政务信息化项目建设管理办法》（国办发〔2019〕57号）</w:t>
            </w:r>
          </w:p>
          <w:p w14:paraId="4D5FE656">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《广东省人民政府办公厅关于印发广东省省级政务信息化项目管理办法的通知》（粤府办〔2020〕9号）</w:t>
            </w:r>
          </w:p>
          <w:p w14:paraId="426177A1">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《广东省省级财政专项资金管理办法》（粤府〔2023〕34号）</w:t>
            </w:r>
          </w:p>
          <w:p w14:paraId="7690718C">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《广东省发展改革委关于下达2025年区域协调发展战略专项资金（基建投资及配套）投资计划的通知》（粤发改投资〔2025〕191号）</w:t>
            </w:r>
          </w:p>
        </w:tc>
      </w:tr>
      <w:tr w14:paraId="4AFEE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57" w:hRule="atLeast"/>
        </w:trPr>
        <w:tc>
          <w:tcPr>
            <w:tcW w:w="392"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4387BDE2">
            <w:pPr>
              <w:jc w:val="center"/>
              <w:rPr>
                <w:rFonts w:hint="eastAsia" w:ascii="宋体"/>
                <w:sz w:val="24"/>
                <w:szCs w:val="24"/>
              </w:rPr>
            </w:pPr>
          </w:p>
        </w:tc>
        <w:tc>
          <w:tcPr>
            <w:tcW w:w="419"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52E4871">
            <w:pPr>
              <w:jc w:val="center"/>
              <w:rPr>
                <w:rFonts w:hint="eastAsia" w:ascii="宋体"/>
                <w:sz w:val="24"/>
                <w:szCs w:val="24"/>
              </w:rPr>
            </w:pPr>
          </w:p>
        </w:tc>
        <w:tc>
          <w:tcPr>
            <w:tcW w:w="500"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4FC202A6">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A3政府投资资金</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24EB03A">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《广东省省级政府投资管理办法》（粤府〔2023〕93号）</w:t>
            </w:r>
          </w:p>
          <w:p w14:paraId="0C28DD7B">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《深圳市政府投资项目策划生成管理办法》（深府规〔2020〕6号）</w:t>
            </w:r>
          </w:p>
          <w:p w14:paraId="7D8A7ECB">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《深圳经济特区政府投资项目管理条例》（2021 修订）</w:t>
            </w:r>
          </w:p>
          <w:p w14:paraId="117FD835">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《北京市政府投资管理办法》（京政发〔2023〕1号）</w:t>
            </w:r>
          </w:p>
          <w:p w14:paraId="6F0F9E8A">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《上海市市级政府投资管理办法》（沪府规〔2021〕8号）</w:t>
            </w:r>
          </w:p>
        </w:tc>
      </w:tr>
      <w:tr w14:paraId="7E5D5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392"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26DC0645">
            <w:pPr>
              <w:jc w:val="center"/>
              <w:rPr>
                <w:rFonts w:hint="eastAsia" w:ascii="宋体"/>
                <w:sz w:val="24"/>
                <w:szCs w:val="24"/>
              </w:rPr>
            </w:pPr>
          </w:p>
        </w:tc>
        <w:tc>
          <w:tcPr>
            <w:tcW w:w="419" w:type="pct"/>
            <w:vMerge w:val="restart"/>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27A50541">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B政府债券资金</w:t>
            </w:r>
          </w:p>
        </w:tc>
        <w:tc>
          <w:tcPr>
            <w:tcW w:w="500"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45D95352">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B1超长期特别国债及“两重”建设资金</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E440711">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《关于公布2026年一般国债、特别国债发行有关安排的通知》财办债〔2026〕71号</w:t>
            </w:r>
          </w:p>
          <w:p w14:paraId="42C26F6D">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《国务院关于印发〈推动大规模设备更新和消费品以旧换新行动方案〉的通知》国发〔2024〕7号</w:t>
            </w:r>
          </w:p>
        </w:tc>
      </w:tr>
      <w:tr w14:paraId="75D0F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392"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BD32757">
            <w:pPr>
              <w:jc w:val="center"/>
              <w:rPr>
                <w:rFonts w:hint="eastAsia" w:ascii="宋体"/>
                <w:sz w:val="24"/>
                <w:szCs w:val="24"/>
              </w:rPr>
            </w:pPr>
          </w:p>
        </w:tc>
        <w:tc>
          <w:tcPr>
            <w:tcW w:w="419"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BB9BBE2">
            <w:pPr>
              <w:jc w:val="center"/>
              <w:rPr>
                <w:rFonts w:hint="eastAsia" w:ascii="宋体"/>
                <w:sz w:val="24"/>
                <w:szCs w:val="24"/>
              </w:rPr>
            </w:pPr>
          </w:p>
        </w:tc>
        <w:tc>
          <w:tcPr>
            <w:tcW w:w="500"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4FB5947">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B2地方政府专项债券资金</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23371580">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《国务院办公厅关于优化完善地方政府专项债券管理机制的意见》（国办发〔2024〕52号）</w:t>
            </w:r>
          </w:p>
          <w:p w14:paraId="6DD28DBD">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《地方政府债券发行管理办法》（财库〔2020〕43号）</w:t>
            </w:r>
          </w:p>
          <w:p w14:paraId="1EC9F852">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《广东省财政厅关于2026年广东省政府专项债券（二十六期至三十期）发行有关事宜的通知》（粤财债〔2026〕39号）</w:t>
            </w:r>
          </w:p>
        </w:tc>
      </w:tr>
      <w:tr w14:paraId="34ED0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7" w:hRule="atLeast"/>
        </w:trPr>
        <w:tc>
          <w:tcPr>
            <w:tcW w:w="392"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27C387CD">
            <w:pPr>
              <w:jc w:val="center"/>
              <w:rPr>
                <w:rFonts w:hint="eastAsia" w:ascii="宋体"/>
                <w:sz w:val="24"/>
                <w:szCs w:val="24"/>
              </w:rPr>
            </w:pPr>
          </w:p>
        </w:tc>
        <w:tc>
          <w:tcPr>
            <w:tcW w:w="419" w:type="pct"/>
            <w:vMerge w:val="restart"/>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2F855B3E">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C其他资金</w:t>
            </w:r>
          </w:p>
        </w:tc>
        <w:tc>
          <w:tcPr>
            <w:tcW w:w="500"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03647C0D">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C1政策性金融资金</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6AA1C7EA">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《关于加强政府投资基金布局规划和投向指导的工作办法（试行）》（发改财金规〔2025〕1752号）</w:t>
            </w:r>
          </w:p>
          <w:p w14:paraId="35D1FA8B">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《关于做好政策性开发性金融工具项目储备和申报工作的通知》（国家发展改革委，2022年）</w:t>
            </w:r>
          </w:p>
        </w:tc>
      </w:tr>
      <w:tr w14:paraId="6150F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65" w:hRule="atLeast"/>
        </w:trPr>
        <w:tc>
          <w:tcPr>
            <w:tcW w:w="392"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7F53DD19">
            <w:pPr>
              <w:jc w:val="center"/>
              <w:rPr>
                <w:rFonts w:hint="eastAsia" w:ascii="宋体"/>
                <w:sz w:val="24"/>
                <w:szCs w:val="24"/>
              </w:rPr>
            </w:pPr>
          </w:p>
        </w:tc>
        <w:tc>
          <w:tcPr>
            <w:tcW w:w="419"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81A87BA">
            <w:pPr>
              <w:jc w:val="center"/>
              <w:rPr>
                <w:rFonts w:hint="eastAsia" w:ascii="宋体"/>
                <w:sz w:val="24"/>
                <w:szCs w:val="24"/>
              </w:rPr>
            </w:pPr>
          </w:p>
        </w:tc>
        <w:tc>
          <w:tcPr>
            <w:tcW w:w="500"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4AA3D6AE">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C2不动产投资信托基金</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7AFA53B7">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《国家发展改革委关于全面推动基础设施领域不动产投资信托基金（REITs）项目常态化发行的通知》（发改投资〔2024〕1014号）</w:t>
            </w:r>
          </w:p>
          <w:p w14:paraId="481358D9">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《关于进一步做好基础设施领域不动产投资信托基金（REITs）常态化申报推荐工作的通知》（发改办投资〔2025〕782号）</w:t>
            </w:r>
          </w:p>
          <w:p w14:paraId="13A5A155">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《关于支持深圳市基础设施领域不动产投资信托基金（REITs）高质量发展的若干措施》（2023年）</w:t>
            </w:r>
          </w:p>
        </w:tc>
      </w:tr>
      <w:tr w14:paraId="4719F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94" w:hRule="atLeast"/>
        </w:trPr>
        <w:tc>
          <w:tcPr>
            <w:tcW w:w="392"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2E44AE96">
            <w:pPr>
              <w:jc w:val="center"/>
              <w:rPr>
                <w:rFonts w:hint="eastAsia" w:ascii="宋体"/>
                <w:sz w:val="24"/>
                <w:szCs w:val="24"/>
              </w:rPr>
            </w:pPr>
          </w:p>
        </w:tc>
        <w:tc>
          <w:tcPr>
            <w:tcW w:w="419"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5EAB9C50">
            <w:pPr>
              <w:jc w:val="center"/>
              <w:rPr>
                <w:rFonts w:hint="eastAsia" w:ascii="宋体"/>
                <w:sz w:val="24"/>
                <w:szCs w:val="24"/>
              </w:rPr>
            </w:pPr>
          </w:p>
        </w:tc>
        <w:tc>
          <w:tcPr>
            <w:tcW w:w="500"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46DAD2E5">
            <w:pPr>
              <w:pStyle w:val="3"/>
              <w:keepNext w:val="0"/>
              <w:keepLines w:val="0"/>
              <w:widowControl/>
              <w:suppressLineNumbers w:val="0"/>
              <w:spacing w:before="0" w:beforeAutospacing="0" w:after="0" w:afterAutospacing="0" w:line="15" w:lineRule="atLeast"/>
              <w:ind w:left="0" w:right="0"/>
              <w:jc w:val="center"/>
            </w:pPr>
            <w:r>
              <w:rPr>
                <w:rFonts w:hint="eastAsia" w:ascii="仿宋_GB2312" w:eastAsia="仿宋_GB2312" w:cs="仿宋_GB2312"/>
                <w:b w:val="0"/>
                <w:bCs w:val="0"/>
                <w:i w:val="0"/>
                <w:iCs w:val="0"/>
                <w:color w:val="000000"/>
                <w:spacing w:val="0"/>
                <w:w w:val="100"/>
                <w:sz w:val="24"/>
                <w:szCs w:val="24"/>
                <w:vertAlign w:val="baseline"/>
              </w:rPr>
              <w:t>C3社会投资</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4B9938B6">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《关于进一步做好社会资本投融资合作对接有关工作的通知》（发改办投资〔2022〕233号）</w:t>
            </w:r>
          </w:p>
          <w:p w14:paraId="24C9F90F">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《关于高质量发展资本市场助力广东现代化建设的若干措施》（粤府函〔2025〕7号）</w:t>
            </w:r>
          </w:p>
          <w:p w14:paraId="177914DC">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《深圳市社会投资项目备案办法》（深府〔2014〕81号）</w:t>
            </w:r>
          </w:p>
          <w:p w14:paraId="7CBBEBD2">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《深圳市社会投资建设项目报建登记实施办法》（深圳市人民政府令第329号）2018年</w:t>
            </w:r>
          </w:p>
          <w:p w14:paraId="34561FA4">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《深圳市促进创业投资高质量发展行动方案（2024—2026）（公开征求意见稿）》</w:t>
            </w:r>
          </w:p>
        </w:tc>
      </w:tr>
      <w:tr w14:paraId="04ABA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11" w:hRule="atLeast"/>
        </w:trPr>
        <w:tc>
          <w:tcPr>
            <w:tcW w:w="1312" w:type="pct"/>
            <w:gridSpan w:val="3"/>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6DC2B2F6">
            <w:pPr>
              <w:pStyle w:val="3"/>
              <w:keepNext w:val="0"/>
              <w:keepLines w:val="0"/>
              <w:widowControl/>
              <w:suppressLineNumbers w:val="0"/>
              <w:spacing w:before="60" w:beforeAutospacing="0" w:after="60" w:afterAutospacing="0"/>
              <w:ind w:left="0" w:right="0"/>
              <w:jc w:val="center"/>
            </w:pPr>
            <w:r>
              <w:rPr>
                <w:rFonts w:hint="eastAsia" w:ascii="仿宋_GB2312" w:eastAsia="仿宋_GB2312" w:cs="仿宋_GB2312"/>
                <w:b w:val="0"/>
                <w:bCs w:val="0"/>
                <w:i w:val="0"/>
                <w:iCs w:val="0"/>
                <w:color w:val="000000"/>
                <w:spacing w:val="0"/>
                <w:w w:val="100"/>
                <w:sz w:val="24"/>
                <w:szCs w:val="24"/>
                <w:vertAlign w:val="baseline"/>
              </w:rPr>
              <w:t>（3）监督评价制度</w:t>
            </w:r>
          </w:p>
        </w:tc>
        <w:tc>
          <w:tcPr>
            <w:tcW w:w="3687"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62E16075">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《全国投资项目在线审批监管平</w:t>
            </w:r>
            <w:bookmarkStart w:id="0" w:name="_GoBack"/>
            <w:bookmarkEnd w:id="0"/>
            <w:r>
              <w:rPr>
                <w:rFonts w:hint="eastAsia" w:ascii="仿宋_GB2312" w:eastAsia="仿宋_GB2312" w:cs="仿宋_GB2312"/>
                <w:b w:val="0"/>
                <w:bCs w:val="0"/>
                <w:i w:val="0"/>
                <w:iCs w:val="0"/>
                <w:color w:val="000000"/>
                <w:spacing w:val="0"/>
                <w:w w:val="100"/>
                <w:sz w:val="24"/>
                <w:szCs w:val="24"/>
                <w:vertAlign w:val="baseline"/>
              </w:rPr>
              <w:t>台运行管理暂行办法》（国家发展改革委等18部门令第3号，2023年修订）</w:t>
            </w:r>
          </w:p>
          <w:p w14:paraId="6A1C1FF0">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《国家发展改革委重大项目后评价管理办法》（发改评督规〔2024〕1103号）</w:t>
            </w:r>
          </w:p>
          <w:p w14:paraId="539B0BE8">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《广东省省级政府投资管理办法》（粤府〔2023〕93号）</w:t>
            </w:r>
          </w:p>
          <w:p w14:paraId="6D7D3BD7">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《深圳市政府投资项目后评价管理办法》（深发改规〔2023〕11号）</w:t>
            </w:r>
          </w:p>
          <w:p w14:paraId="01226E42">
            <w:pPr>
              <w:pStyle w:val="3"/>
              <w:keepNext w:val="0"/>
              <w:keepLines w:val="0"/>
              <w:widowControl/>
              <w:numPr>
                <w:ilvl w:val="0"/>
                <w:numId w:val="1"/>
              </w:numPr>
              <w:suppressLineNumbers w:val="0"/>
              <w:spacing w:before="0" w:beforeAutospacing="0" w:after="0" w:afterAutospacing="0" w:line="15" w:lineRule="atLeast"/>
              <w:ind w:left="0" w:leftChars="0" w:right="0" w:firstLine="0" w:firstLineChars="0"/>
              <w:jc w:val="left"/>
            </w:pPr>
            <w:r>
              <w:t xml:space="preserve"> </w:t>
            </w:r>
            <w:r>
              <w:rPr>
                <w:rFonts w:hint="eastAsia" w:ascii="仿宋_GB2312" w:eastAsia="仿宋_GB2312" w:cs="仿宋_GB2312"/>
                <w:b w:val="0"/>
                <w:bCs w:val="0"/>
                <w:i w:val="0"/>
                <w:iCs w:val="0"/>
                <w:color w:val="000000"/>
                <w:spacing w:val="0"/>
                <w:w w:val="100"/>
                <w:sz w:val="24"/>
                <w:szCs w:val="24"/>
                <w:vertAlign w:val="baseline"/>
              </w:rPr>
              <w:t>《深圳市发展和改革委员会中央预算内投资项目事中事后监督管理暂行办法》（深发改规〔2022〕7号，2025年续期）</w:t>
            </w:r>
          </w:p>
        </w:tc>
      </w:tr>
    </w:tbl>
    <w:p w14:paraId="234890E9">
      <w:pPr>
        <w:pStyle w:val="3"/>
        <w:keepNext w:val="0"/>
        <w:keepLines w:val="0"/>
        <w:widowControl/>
        <w:numPr>
          <w:numId w:val="0"/>
        </w:numPr>
        <w:suppressLineNumbers w:val="0"/>
        <w:spacing w:before="0" w:beforeAutospacing="0" w:after="0" w:afterAutospacing="0" w:line="15" w:lineRule="atLeast"/>
        <w:ind w:leftChars="0" w:right="0" w:right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lang w:val="en-US" w:eastAsia="zh-CN"/>
        </w:rPr>
        <w:t>注：</w:t>
      </w:r>
      <w:r>
        <w:rPr>
          <w:rFonts w:hint="eastAsia" w:ascii="仿宋_GB2312" w:eastAsia="仿宋_GB2312" w:cs="仿宋_GB2312"/>
          <w:b w:val="0"/>
          <w:bCs w:val="0"/>
          <w:i w:val="0"/>
          <w:iCs w:val="0"/>
          <w:color w:val="000000"/>
          <w:spacing w:val="0"/>
          <w:w w:val="100"/>
          <w:sz w:val="24"/>
          <w:szCs w:val="24"/>
          <w:vertAlign w:val="baseline"/>
        </w:rPr>
        <w:t>《广东省省级政府投资管理办法》涵盖三板块内容</w:t>
      </w:r>
    </w:p>
    <w:p w14:paraId="57C3287F">
      <w:r>
        <w:br w:type="page"/>
      </w:r>
    </w:p>
    <w:p w14:paraId="4FF4F16E">
      <w:pPr>
        <w:pStyle w:val="2"/>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bCs/>
          <w:i w:val="0"/>
          <w:iCs w:val="0"/>
          <w:color w:val="333333"/>
          <w:spacing w:val="0"/>
          <w:w w:val="100"/>
          <w:sz w:val="30"/>
          <w:szCs w:val="30"/>
          <w:vertAlign w:val="baseline"/>
        </w:rPr>
        <w:t>政策清单2财政部门预算-采购-资产管理类</w:t>
      </w:r>
    </w:p>
    <w:tbl>
      <w:tblPr>
        <w:tblStyle w:val="4"/>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1"/>
        <w:gridCol w:w="1176"/>
        <w:gridCol w:w="11616"/>
      </w:tblGrid>
      <w:tr w14:paraId="41181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484" w:type="pct"/>
            <w:tcBorders>
              <w:top w:val="single" w:color="000000" w:sz="8" w:space="0"/>
              <w:left w:val="single" w:color="000000" w:sz="8" w:space="0"/>
              <w:bottom w:val="single" w:color="000000" w:sz="8" w:space="0"/>
              <w:right w:val="single" w:color="000000" w:sz="8" w:space="0"/>
            </w:tcBorders>
            <w:shd w:val="clear" w:color="auto" w:fill="D8D8D8"/>
            <w:tcMar>
              <w:top w:w="0" w:type="dxa"/>
              <w:left w:w="108" w:type="dxa"/>
              <w:bottom w:w="0" w:type="dxa"/>
              <w:right w:w="108" w:type="dxa"/>
            </w:tcMar>
            <w:vAlign w:val="bottom"/>
          </w:tcPr>
          <w:p w14:paraId="1FEEA1CA">
            <w:pPr>
              <w:pStyle w:val="3"/>
              <w:keepNext w:val="0"/>
              <w:keepLines w:val="0"/>
              <w:widowControl/>
              <w:suppressLineNumbers w:val="0"/>
              <w:spacing w:before="0" w:beforeAutospacing="0" w:after="0" w:afterAutospacing="0" w:line="15" w:lineRule="atLeast"/>
              <w:ind w:left="0" w:right="0"/>
              <w:jc w:val="center"/>
              <w:rPr>
                <w:b/>
                <w:bCs/>
              </w:rPr>
            </w:pPr>
            <w:r>
              <w:rPr>
                <w:rFonts w:ascii="微软雅黑" w:hAnsi="微软雅黑" w:eastAsia="微软雅黑" w:cs="微软雅黑"/>
                <w:b/>
                <w:bCs/>
                <w:i w:val="0"/>
                <w:iCs w:val="0"/>
                <w:color w:val="333333"/>
                <w:spacing w:val="0"/>
                <w:w w:val="100"/>
                <w:sz w:val="22"/>
                <w:szCs w:val="22"/>
                <w:vertAlign w:val="baseline"/>
              </w:rPr>
              <w:t>大类</w:t>
            </w:r>
          </w:p>
        </w:tc>
        <w:tc>
          <w:tcPr>
            <w:tcW w:w="415" w:type="pct"/>
            <w:tcBorders>
              <w:top w:val="single" w:color="000000" w:sz="8" w:space="0"/>
              <w:left w:val="single" w:color="000000" w:sz="2" w:space="0"/>
              <w:bottom w:val="single" w:color="000000" w:sz="8" w:space="0"/>
              <w:right w:val="single" w:color="000000" w:sz="8" w:space="0"/>
            </w:tcBorders>
            <w:shd w:val="clear" w:color="auto" w:fill="D8D8D8"/>
            <w:tcMar>
              <w:top w:w="0" w:type="dxa"/>
              <w:left w:w="108" w:type="dxa"/>
              <w:bottom w:w="0" w:type="dxa"/>
              <w:right w:w="108" w:type="dxa"/>
            </w:tcMar>
            <w:vAlign w:val="bottom"/>
          </w:tcPr>
          <w:p w14:paraId="3C8C6A09">
            <w:pPr>
              <w:pStyle w:val="3"/>
              <w:keepNext w:val="0"/>
              <w:keepLines w:val="0"/>
              <w:widowControl/>
              <w:suppressLineNumbers w:val="0"/>
              <w:spacing w:before="0" w:beforeAutospacing="0" w:after="0" w:afterAutospacing="0" w:line="15" w:lineRule="atLeast"/>
              <w:ind w:left="0" w:right="0"/>
              <w:jc w:val="center"/>
              <w:rPr>
                <w:b/>
                <w:bCs/>
              </w:rPr>
            </w:pPr>
            <w:r>
              <w:rPr>
                <w:rFonts w:hint="eastAsia" w:ascii="微软雅黑" w:hAnsi="微软雅黑" w:eastAsia="微软雅黑" w:cs="微软雅黑"/>
                <w:b/>
                <w:bCs/>
                <w:i w:val="0"/>
                <w:iCs w:val="0"/>
                <w:color w:val="333333"/>
                <w:spacing w:val="0"/>
                <w:w w:val="100"/>
                <w:sz w:val="22"/>
                <w:szCs w:val="22"/>
                <w:vertAlign w:val="baseline"/>
              </w:rPr>
              <w:t>小类</w:t>
            </w:r>
          </w:p>
        </w:tc>
        <w:tc>
          <w:tcPr>
            <w:tcW w:w="4100" w:type="pct"/>
            <w:tcBorders>
              <w:top w:val="single" w:color="000000" w:sz="8" w:space="0"/>
              <w:left w:val="single" w:color="000000" w:sz="2" w:space="0"/>
              <w:bottom w:val="single" w:color="000000" w:sz="8" w:space="0"/>
              <w:right w:val="single" w:color="000000" w:sz="8" w:space="0"/>
            </w:tcBorders>
            <w:shd w:val="clear" w:color="auto" w:fill="D8D8D8"/>
            <w:tcMar>
              <w:top w:w="0" w:type="dxa"/>
              <w:left w:w="108" w:type="dxa"/>
              <w:bottom w:w="0" w:type="dxa"/>
              <w:right w:w="108" w:type="dxa"/>
            </w:tcMar>
            <w:vAlign w:val="bottom"/>
          </w:tcPr>
          <w:p w14:paraId="42664C5E">
            <w:pPr>
              <w:pStyle w:val="3"/>
              <w:keepNext w:val="0"/>
              <w:keepLines w:val="0"/>
              <w:widowControl/>
              <w:suppressLineNumbers w:val="0"/>
              <w:spacing w:before="0" w:beforeAutospacing="0" w:after="0" w:afterAutospacing="0" w:line="15" w:lineRule="atLeast"/>
              <w:ind w:left="0" w:right="0"/>
              <w:jc w:val="center"/>
              <w:rPr>
                <w:b/>
                <w:bCs/>
              </w:rPr>
            </w:pPr>
            <w:r>
              <w:rPr>
                <w:rFonts w:hint="eastAsia" w:ascii="微软雅黑" w:hAnsi="微软雅黑" w:eastAsia="微软雅黑" w:cs="微软雅黑"/>
                <w:b/>
                <w:bCs/>
                <w:i w:val="0"/>
                <w:iCs w:val="0"/>
                <w:color w:val="333333"/>
                <w:spacing w:val="0"/>
                <w:w w:val="100"/>
                <w:sz w:val="22"/>
                <w:szCs w:val="22"/>
                <w:vertAlign w:val="baseline"/>
              </w:rPr>
              <w:t>政策列表</w:t>
            </w:r>
          </w:p>
        </w:tc>
      </w:tr>
      <w:tr w14:paraId="79C49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5" w:hRule="atLeast"/>
        </w:trPr>
        <w:tc>
          <w:tcPr>
            <w:tcW w:w="484" w:type="pct"/>
            <w:vMerge w:val="restart"/>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C972BC7">
            <w:pPr>
              <w:pStyle w:val="3"/>
              <w:keepNext w:val="0"/>
              <w:keepLines w:val="0"/>
              <w:widowControl/>
              <w:suppressLineNumbers w:val="0"/>
              <w:spacing w:before="0" w:beforeAutospacing="0" w:after="0" w:afterAutospacing="0" w:line="15" w:lineRule="atLeast"/>
              <w:ind w:left="0" w:right="0"/>
              <w:jc w:val="left"/>
            </w:pPr>
            <w:r>
              <w:rPr>
                <w:rFonts w:ascii="仿宋_GB2312" w:eastAsia="仿宋_GB2312" w:cs="仿宋_GB2312"/>
                <w:b w:val="0"/>
                <w:bCs w:val="0"/>
                <w:i w:val="0"/>
                <w:iCs w:val="0"/>
                <w:color w:val="000000"/>
                <w:spacing w:val="0"/>
                <w:w w:val="100"/>
                <w:sz w:val="24"/>
                <w:szCs w:val="24"/>
                <w:vertAlign w:val="baseline"/>
              </w:rPr>
              <w:t>A预算政策</w:t>
            </w: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4C6A5931">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A1国家</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988DCB4">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《中华人民共和国预算法》（主席令第21号,2018修正）</w:t>
            </w:r>
          </w:p>
          <w:p w14:paraId="2CEFCAB9">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《中华人民共和国预算法实施条例》（中华人民共和国国务院令第729号）2020</w:t>
            </w:r>
          </w:p>
          <w:p w14:paraId="4437406B">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《国务院关于进一步深化预算管理制度改革的意见》（国发〔2021〕5号）</w:t>
            </w:r>
          </w:p>
          <w:p w14:paraId="0942E9B7">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《关于进一步推进预算公开工作的指导意见》中办发〔2016〕13号</w:t>
            </w:r>
          </w:p>
          <w:p w14:paraId="076384F2">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《中共中央 国务院关于全面实施预算绩效管理的意见》（中发〔2018〕34号）</w:t>
            </w:r>
          </w:p>
          <w:p w14:paraId="1B35870B">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《中央本级基本支出预算管理办法》（财预〔2007〕37号）</w:t>
            </w:r>
          </w:p>
          <w:p w14:paraId="28641BCE">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《中央本级项目支出预算管理办法》（财预〔2007〕38号）</w:t>
            </w:r>
          </w:p>
          <w:p w14:paraId="4C7184DA">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《全国人民代表大会常务委员会关于加强中央预算审查监督的决定》（2021 修订）</w:t>
            </w:r>
          </w:p>
          <w:p w14:paraId="3A1DE414">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《国务院关于进一步完善国有资本经营预算制度的意见》（国发〔2024〕2 号）</w:t>
            </w:r>
          </w:p>
          <w:p w14:paraId="1BD65398">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《财政部关于推进预算绩效管理的指导意见》（财预〔2011〕416 号）</w:t>
            </w:r>
          </w:p>
          <w:p w14:paraId="053C3A82">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《关于印发&lt;预算评审管理暂行办法&gt;的通知》（财预〔2023〕95号)</w:t>
            </w:r>
          </w:p>
        </w:tc>
      </w:tr>
      <w:tr w14:paraId="4BEB3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25" w:hRule="atLeast"/>
        </w:trPr>
        <w:tc>
          <w:tcPr>
            <w:tcW w:w="484"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4B97BBFC">
            <w:pPr>
              <w:rPr>
                <w:rFonts w:hint="eastAsia" w:ascii="宋体"/>
                <w:sz w:val="24"/>
                <w:szCs w:val="24"/>
              </w:rPr>
            </w:pP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3B2C1F1">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A2广东省</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FA9EA01">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《广东省预算审批监督条例》（广东省第十三届人民代表大会常务委员会公告第47号2019年修订）</w:t>
            </w:r>
          </w:p>
          <w:p w14:paraId="43BAFF38">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《关于印发&lt;广东省省级财政预算绩效目标管理办法（试行）&gt;的通知》粤财绩〔2019〕11号</w:t>
            </w:r>
          </w:p>
          <w:p w14:paraId="60BC3CC4">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《广东省人民政府关于加强统筹进一步深化预算管理制度改革的实施意见》粤府〔2021〕34号</w:t>
            </w:r>
          </w:p>
          <w:p w14:paraId="0BD5F6D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《广东省财政厅印发&lt;关于深化预算管理制度改革的实施方案&gt;的通知》粤财预〔2021〕65号</w:t>
            </w:r>
          </w:p>
          <w:p w14:paraId="069F5CE8">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《关于印发&lt;广东省财政预算绩效指标库&gt;和&lt;广东省财政预算绩效指标库管理暂行办法&gt;的通知》（粤财绩〔2018〕3号）</w:t>
            </w:r>
          </w:p>
          <w:p w14:paraId="3102576A">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《广东省人民政府办公厅关于印发广东省进一步推进省以下财政体制改革工作实施方案的通知》（粤府办〔2022〕34 号）</w:t>
            </w:r>
          </w:p>
        </w:tc>
      </w:tr>
      <w:tr w14:paraId="0A26E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61" w:hRule="atLeast"/>
        </w:trPr>
        <w:tc>
          <w:tcPr>
            <w:tcW w:w="484"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B56C73F">
            <w:pPr>
              <w:rPr>
                <w:rFonts w:hint="eastAsia" w:ascii="宋体"/>
                <w:sz w:val="24"/>
                <w:szCs w:val="24"/>
              </w:rPr>
            </w:pP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5DF84A3B">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A3深圳市</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7F83FAC">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《深圳市本级部门预算准则（试行）》的通知 深府〔2006〕12号</w:t>
            </w:r>
          </w:p>
          <w:p w14:paraId="22434C9C">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《深圳市人民政府关于加强财政预算绩效管理工作的意见》（深府〔2013〕23号）</w:t>
            </w:r>
          </w:p>
          <w:p w14:paraId="39660790">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《深圳市人民代表大会常务委员会关于加强市级预算审查监督的决定》（深圳市第七届人大常委会公告第八十三号）</w:t>
            </w:r>
          </w:p>
        </w:tc>
      </w:tr>
      <w:tr w14:paraId="5B04D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96" w:hRule="atLeast"/>
        </w:trPr>
        <w:tc>
          <w:tcPr>
            <w:tcW w:w="484" w:type="pct"/>
            <w:vMerge w:val="restart"/>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2CD469A7">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B采购政策</w:t>
            </w: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2AAE482">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B1国家</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54628093">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《中华人民共和国政府采购法》（主席令第68号，2014修正）</w:t>
            </w:r>
          </w:p>
          <w:p w14:paraId="045694B9">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《中华人民共和国政府采购法实施条例》（中华人民共和国国务院令第658号，2015）</w:t>
            </w:r>
          </w:p>
          <w:p w14:paraId="6078393A">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《政府采购信息发布管理办法》（财政部令第101 号，2020）</w:t>
            </w:r>
          </w:p>
          <w:p w14:paraId="4D06AA7F">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《政府购买服务管理办法》（财政部令第102 号，2020）</w:t>
            </w:r>
          </w:p>
          <w:p w14:paraId="14C77DEA">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《政府采购非招标采购方式管理办法》（财政部令第 74 号，2014）</w:t>
            </w:r>
          </w:p>
          <w:p w14:paraId="15B00C58">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《政府采购货物和服务招标投标管理办法》（财政部 令第87号，2017）</w:t>
            </w:r>
          </w:p>
          <w:p w14:paraId="41148733">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《政府采购需求管理办法》（财库〔2021〕22号）</w:t>
            </w:r>
          </w:p>
          <w:p w14:paraId="6C88CA70">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《政府采购质疑和投诉办法》（财政部令第94号，2018）</w:t>
            </w:r>
          </w:p>
          <w:p w14:paraId="63FD09E4">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《政府采购框架协议采购方式管理暂行办法》（财政部令第110号，2022）</w:t>
            </w:r>
          </w:p>
          <w:p w14:paraId="3CD51B8C">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《关于开展政府采购意向公开工作的通知》（财库〔2020〕10号）</w:t>
            </w:r>
          </w:p>
          <w:p w14:paraId="68C6B8F2">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《政府采购领域“整顿市场秩序、建设法规体系、促进产业发展”三年行动方案（2024-2026年）》的通知（国办发〔2024〕33 号）</w:t>
            </w:r>
          </w:p>
          <w:p w14:paraId="1B894ED1">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《财政部关于印发&lt;政府采购合作创新采购方式管理暂行办法&gt;的通知》（财库〔2024〕13 号）</w:t>
            </w:r>
          </w:p>
          <w:p w14:paraId="2919C4E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《财政部关于促进政府采购公平竞争优化营商环境的通知》（财库 〔2019〕38 号）</w:t>
            </w:r>
          </w:p>
          <w:p w14:paraId="34B0E496">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《财政部关于做好政府采购框架协议采购工作有关问题的通知》（财库〔2022〕17 号）</w:t>
            </w:r>
          </w:p>
          <w:p w14:paraId="0708D916">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《关于加强政府采购活动内部控制管理的指导意见》（财库〔2016〕99 号）</w:t>
            </w:r>
          </w:p>
          <w:p w14:paraId="3B412EE0">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《关于进一步加强政府采购需求和履约验收管理的指导意见》（财库〔2016〕205 号）</w:t>
            </w:r>
          </w:p>
        </w:tc>
      </w:tr>
      <w:tr w14:paraId="1D347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484"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75C80FE3">
            <w:pPr>
              <w:rPr>
                <w:rFonts w:hint="eastAsia" w:ascii="宋体"/>
                <w:sz w:val="24"/>
                <w:szCs w:val="24"/>
              </w:rPr>
            </w:pP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618D23CA">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B2广东省</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6F42109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《广东省财政厅关于开展政府采购意向公开有关事项的通知》（粤财采购〔2020〕5号）</w:t>
            </w:r>
          </w:p>
          <w:p w14:paraId="3E271832">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《关于印发&lt;省直机关政府购买服务信息公开管理暂行办法&gt;的通知》（粤财行〔2019〕10号）</w:t>
            </w:r>
          </w:p>
          <w:p w14:paraId="21108389">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《广东省财政厅关于印发&lt;广东省政务信息化项目政府采购工作指引&gt;的通知》（粤财采购〔2024〕13号）</w:t>
            </w:r>
          </w:p>
        </w:tc>
      </w:tr>
      <w:tr w14:paraId="6029E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484"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C41F9D3">
            <w:pPr>
              <w:rPr>
                <w:rFonts w:hint="eastAsia" w:ascii="宋体"/>
                <w:sz w:val="24"/>
                <w:szCs w:val="24"/>
              </w:rPr>
            </w:pP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7D4D47FC">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B3深圳市</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0AB0A866">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《深圳经济特区政府采购条例》（2019修正）</w:t>
            </w:r>
          </w:p>
          <w:p w14:paraId="14FCB44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《深圳经济特区政府采购条例实施细则》（深圳市人民政府令第342号,2022修正）</w:t>
            </w:r>
          </w:p>
          <w:p w14:paraId="1FD0D92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《深圳市财政局关于印发&lt;深圳市政府采购行政处罚裁量权实施办法&gt;的通知》（深财规〔2022〕2号）</w:t>
            </w:r>
          </w:p>
          <w:p w14:paraId="4D791551">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《深圳市财政局关于&lt;进一步提高政府采购透明度提升采购效率&gt;的通知》（深财购〔2024〕32 号）</w:t>
            </w:r>
          </w:p>
          <w:p w14:paraId="45231891">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《深圳市财政局关于进一步优化政府采购营商环境的通知》（深财购〔2021〕31 号）</w:t>
            </w:r>
          </w:p>
          <w:p w14:paraId="64C7E5BB">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《深圳市财政局 深圳市公安局 深圳市市场监管局关于开展2025年政府采购领域“四类”违法违规行为专项整治工作的通知》（深财购〔2025〕31 号）</w:t>
            </w:r>
          </w:p>
          <w:p w14:paraId="5BB21CC4">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《深圳市财政局 深圳市公安局 深圳市市场监管局关于开展 2026年政府采购领域 “四类”违法违规行为专项整治工作的通知》（深财购〔2026〕34 号）</w:t>
            </w:r>
          </w:p>
        </w:tc>
      </w:tr>
      <w:tr w14:paraId="19759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7" w:hRule="atLeast"/>
        </w:trPr>
        <w:tc>
          <w:tcPr>
            <w:tcW w:w="484" w:type="pct"/>
            <w:vMerge w:val="restart"/>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7A295550">
            <w:pPr>
              <w:pStyle w:val="3"/>
              <w:keepNext w:val="0"/>
              <w:keepLines w:val="0"/>
              <w:widowControl/>
              <w:suppressLineNumbers w:val="0"/>
              <w:spacing w:before="0" w:beforeAutospacing="0" w:after="0" w:afterAutospacing="0" w:line="15" w:lineRule="atLeast"/>
              <w:ind w:left="0" w:right="0"/>
              <w:jc w:val="left"/>
            </w:pPr>
            <w:r>
              <w:rPr>
                <w:rFonts w:hint="eastAsia" w:ascii="微软雅黑" w:hAnsi="微软雅黑" w:eastAsia="微软雅黑" w:cs="微软雅黑"/>
                <w:b w:val="0"/>
                <w:bCs w:val="0"/>
                <w:i w:val="0"/>
                <w:iCs w:val="0"/>
                <w:color w:val="333333"/>
                <w:spacing w:val="0"/>
                <w:w w:val="100"/>
                <w:sz w:val="22"/>
                <w:szCs w:val="22"/>
                <w:vertAlign w:val="baseline"/>
              </w:rPr>
              <w:t>C资产管理</w:t>
            </w: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6A65086D">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C1国家</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B0C3C08">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《行政事业性国有资产管理条例》（国务院令第738号，2021）</w:t>
            </w:r>
          </w:p>
          <w:p w14:paraId="0B5E7DD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《中央行政事业单位国有资产使用管理办法》（财资〔2024〕116号）</w:t>
            </w:r>
          </w:p>
          <w:p w14:paraId="2D4A7FD1">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《数据产权登记工作指引（试行）》国数综政策〔2026〕35号</w:t>
            </w:r>
          </w:p>
          <w:p w14:paraId="70E273D7">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《全国人民代表大会常务委员会关于加强国有资产管理情况监督的决定》（2020年第十三届全国人大常务委员会第二十四次会议通过）</w:t>
            </w:r>
          </w:p>
          <w:p w14:paraId="61EA095A">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《关于强化制度执行 进一步推动行政事业性国有资产管理提质增效的通知》财资〔2024〕155号</w:t>
            </w:r>
          </w:p>
          <w:p w14:paraId="4A2944E9">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《关于印发&lt;国有资产报告编报工作暂行办法&gt;的通知》财资〔2021〕123号</w:t>
            </w:r>
          </w:p>
          <w:p w14:paraId="14AD70F2">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《关于印发&lt;行政事业单位国有资产年度报告管理办法&gt;的通知》财资[2017]3号</w:t>
            </w:r>
          </w:p>
          <w:p w14:paraId="3D7B0F84">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《财政部关于修改&lt;事业单位国有资产管理暂行办法&gt;的决定》（财政部令第100号）</w:t>
            </w:r>
          </w:p>
          <w:p w14:paraId="2F870D1B">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《中央行政事业单位国有资产配置管理办法》（财资〔2018〕98号）</w:t>
            </w:r>
          </w:p>
          <w:p w14:paraId="57688045">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《中央行政事业单位国有资产处置管理办法》（财资〔2021〕127号）</w:t>
            </w:r>
          </w:p>
          <w:p w14:paraId="20BDB3B8">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《关于盘活行政事业单位国有资产的指导意见》（财资〔2022〕124号）</w:t>
            </w:r>
          </w:p>
          <w:p w14:paraId="1CAB367B">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《国务院办公厅关于进一步盘活存量资产扩大有效投资的意见》（国办发〔2022〕19号）</w:t>
            </w:r>
          </w:p>
          <w:p w14:paraId="4DF31F50">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《中共中央 国务院关于构建数据基础制度更好发挥数据要素作用的意见》（2022年12月2日）</w:t>
            </w:r>
          </w:p>
          <w:p w14:paraId="561C38A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《中共中央办公厅 国务院办公厅关于加快公共数据资源开发利用的意见》（2024年9月21日）</w:t>
            </w:r>
          </w:p>
          <w:p w14:paraId="13A0A4D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《关于加强数据资产管理的指导意见》（财资〔2023〕141号）</w:t>
            </w:r>
          </w:p>
          <w:p w14:paraId="0E424D5C">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《关于加强行政事业单位数据资产管理的通知》（财资〔2024〕1号）</w:t>
            </w:r>
          </w:p>
          <w:p w14:paraId="208F4F5B">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《数据资产全过程管理试点方案》（财资〔2024〕167号）</w:t>
            </w:r>
          </w:p>
          <w:p w14:paraId="42DC53D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《公共数据资源授权运营实施规范（试行）》发改数据规〔2025〕27号 </w:t>
            </w:r>
          </w:p>
          <w:p w14:paraId="7BEA0E76">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《关于加强行政事业单位固定资产管理的通知》（财资〔2020〕97 号）</w:t>
            </w:r>
          </w:p>
        </w:tc>
      </w:tr>
      <w:tr w14:paraId="2C987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484"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E73FA93">
            <w:pPr>
              <w:rPr>
                <w:rFonts w:hint="eastAsia" w:ascii="宋体"/>
                <w:sz w:val="24"/>
                <w:szCs w:val="24"/>
              </w:rPr>
            </w:pP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7ED89B35">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C2广东省</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173BC923">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《广东省行政事业性国有资产管理办法》(粤财资(2024)5号)</w:t>
            </w:r>
          </w:p>
          <w:p w14:paraId="53030955">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《广东省财政厅关于强化制度执行进一步推动行政事业性国有资产管理提质增效的通知》粤财资〔2024〕50号</w:t>
            </w:r>
          </w:p>
          <w:p w14:paraId="6C721D43">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《广东省省直行政事业单位国有资产处置管理暂行办法》（粤管〔2023〕22号）（2023年修订）</w:t>
            </w:r>
          </w:p>
          <w:p w14:paraId="35070745">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《广东省省直行政事业单位国有资产管理暂行办法》（粤管〔2025〕6号）</w:t>
            </w:r>
          </w:p>
          <w:p w14:paraId="27E23E8F">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《广东省公共数据资源登记管理实施细则（试行）》(2026</w:t>
            </w:r>
            <w:r>
              <w:rPr>
                <w:rFonts w:hint="eastAsia" w:ascii="仿宋_GB2312" w:eastAsia="仿宋_GB2312" w:cs="仿宋_GB2312"/>
                <w:b w:val="0"/>
                <w:bCs w:val="0"/>
                <w:i w:val="0"/>
                <w:iCs w:val="0"/>
                <w:color w:val="000000"/>
                <w:spacing w:val="0"/>
                <w:w w:val="100"/>
                <w:sz w:val="24"/>
                <w:szCs w:val="24"/>
                <w:vertAlign w:val="baseline"/>
              </w:rPr>
              <w:noBreakHyphen/>
            </w:r>
            <w:r>
              <w:rPr>
                <w:rFonts w:hint="eastAsia" w:ascii="仿宋_GB2312" w:eastAsia="仿宋_GB2312" w:cs="仿宋_GB2312"/>
                <w:b w:val="0"/>
                <w:bCs w:val="0"/>
                <w:i w:val="0"/>
                <w:iCs w:val="0"/>
                <w:color w:val="000000"/>
                <w:spacing w:val="0"/>
                <w:w w:val="100"/>
                <w:sz w:val="24"/>
                <w:szCs w:val="24"/>
                <w:vertAlign w:val="baseline"/>
              </w:rPr>
              <w:t>01</w:t>
            </w:r>
            <w:r>
              <w:rPr>
                <w:rFonts w:hint="eastAsia" w:ascii="仿宋_GB2312" w:eastAsia="仿宋_GB2312" w:cs="仿宋_GB2312"/>
                <w:b w:val="0"/>
                <w:bCs w:val="0"/>
                <w:i w:val="0"/>
                <w:iCs w:val="0"/>
                <w:color w:val="000000"/>
                <w:spacing w:val="0"/>
                <w:w w:val="100"/>
                <w:sz w:val="24"/>
                <w:szCs w:val="24"/>
                <w:vertAlign w:val="baseline"/>
              </w:rPr>
              <w:noBreakHyphen/>
            </w:r>
            <w:r>
              <w:rPr>
                <w:rFonts w:hint="eastAsia" w:ascii="仿宋_GB2312" w:eastAsia="仿宋_GB2312" w:cs="仿宋_GB2312"/>
                <w:b w:val="0"/>
                <w:bCs w:val="0"/>
                <w:i w:val="0"/>
                <w:iCs w:val="0"/>
                <w:color w:val="000000"/>
                <w:spacing w:val="0"/>
                <w:w w:val="100"/>
                <w:sz w:val="24"/>
                <w:szCs w:val="24"/>
                <w:vertAlign w:val="baseline"/>
              </w:rPr>
              <w:t>01 起施行,无独立正式文号)</w:t>
            </w:r>
          </w:p>
          <w:p w14:paraId="5249B8AC">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《广东省公共数据资源授权运营价格管理办法》（粤发改规〔2026〕6号）</w:t>
            </w:r>
          </w:p>
          <w:p w14:paraId="318B385E">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《广东省公共数据资源授权运营管理办法》（粤政数〔2026〕9号）</w:t>
            </w:r>
          </w:p>
          <w:p w14:paraId="601B9EC7">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《广东省省直行政事业单位国有资产共享共用管理试行办法》（粤管〔2023〕33号）</w:t>
            </w:r>
          </w:p>
          <w:p w14:paraId="36FF7367">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《广东省省直行政事业单位国有资产对外出租出借管理暂行办法》（粤财资〔2018〕22号）</w:t>
            </w:r>
          </w:p>
        </w:tc>
      </w:tr>
      <w:tr w14:paraId="225BD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99" w:hRule="atLeast"/>
        </w:trPr>
        <w:tc>
          <w:tcPr>
            <w:tcW w:w="484" w:type="pct"/>
            <w:vMerge w:val="continue"/>
            <w:tcBorders>
              <w:top w:val="single" w:color="000000" w:sz="2"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5BE0266F">
            <w:pPr>
              <w:rPr>
                <w:rFonts w:hint="eastAsia" w:ascii="宋体"/>
                <w:sz w:val="24"/>
                <w:szCs w:val="24"/>
              </w:rPr>
            </w:pPr>
          </w:p>
        </w:tc>
        <w:tc>
          <w:tcPr>
            <w:tcW w:w="415" w:type="pct"/>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0F4E74E6">
            <w:pPr>
              <w:pStyle w:val="3"/>
              <w:keepNext w:val="0"/>
              <w:keepLines w:val="0"/>
              <w:widowControl/>
              <w:suppressLineNumbers w:val="0"/>
              <w:spacing w:before="0" w:beforeAutospacing="0" w:after="0" w:afterAutospacing="0" w:line="15" w:lineRule="atLeast"/>
              <w:ind w:left="0" w:right="0"/>
              <w:jc w:val="left"/>
            </w:pPr>
            <w:r>
              <w:rPr>
                <w:rFonts w:hint="eastAsia" w:ascii="仿宋_GB2312" w:eastAsia="仿宋_GB2312" w:cs="仿宋_GB2312"/>
                <w:b w:val="0"/>
                <w:bCs w:val="0"/>
                <w:i w:val="0"/>
                <w:iCs w:val="0"/>
                <w:color w:val="000000"/>
                <w:spacing w:val="0"/>
                <w:w w:val="100"/>
                <w:sz w:val="24"/>
                <w:szCs w:val="24"/>
                <w:vertAlign w:val="baseline"/>
              </w:rPr>
              <w:t>C3深圳市</w:t>
            </w:r>
          </w:p>
        </w:tc>
        <w:tc>
          <w:tcPr>
            <w:tcW w:w="11616" w:type="dxa"/>
            <w:tcBorders>
              <w:top w:val="single" w:color="000000" w:sz="2" w:space="0"/>
              <w:left w:val="single" w:color="000000" w:sz="2" w:space="0"/>
              <w:bottom w:val="single" w:color="000000" w:sz="8" w:space="0"/>
              <w:right w:val="single" w:color="000000" w:sz="8" w:space="0"/>
            </w:tcBorders>
            <w:shd w:val="clear" w:color="auto" w:fill="FFFFFF"/>
            <w:tcMar>
              <w:top w:w="0" w:type="dxa"/>
              <w:left w:w="108" w:type="dxa"/>
              <w:bottom w:w="0" w:type="dxa"/>
              <w:right w:w="108" w:type="dxa"/>
            </w:tcMar>
            <w:vAlign w:val="center"/>
          </w:tcPr>
          <w:p w14:paraId="3FE87BC7">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《深圳经济特区数据条例》（深圳市第七届人民代表大会常务委员会公告第10号）</w:t>
            </w:r>
          </w:p>
          <w:p w14:paraId="7F00858A">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《深圳市“数据要素×”赋能经济社会高质量发展实施方案（2025—2026年）》（深政数〔2025〕24号）</w:t>
            </w:r>
          </w:p>
          <w:p w14:paraId="4AC65123">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《深圳市本级行政事业单位国有资产使用办法》深财资规〔2011〕14号</w:t>
            </w:r>
          </w:p>
          <w:p w14:paraId="511EB35D">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《深圳市数据产权登记管理暂行办法》（深发改规〔2023〕5号）</w:t>
            </w:r>
          </w:p>
          <w:p w14:paraId="0D6C3521">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《深圳市行政事业单位国有资产处置办法》（深财资〔2023〕42号）</w:t>
            </w:r>
          </w:p>
          <w:p w14:paraId="2C33E253">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《深圳市行政事业性国有资产管理办法》（深府办[2022]5号）</w:t>
            </w:r>
          </w:p>
          <w:p w14:paraId="4F6AB87A">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《深圳市财政局关于市本级行政事业单位固定资产报废后交由统一回收平台集中处理的通知》（深财资〔2021〕8号）</w:t>
            </w:r>
          </w:p>
          <w:p w14:paraId="2D6DD9BA">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《龙华区公共数据资源授权运营实施细则（试行）》(深龙华政数规〔2025〕1 号)</w:t>
            </w:r>
          </w:p>
          <w:p w14:paraId="257DD8D8">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《福田区公共数据资源授权运营实施方案（试行）》（暂无公开发文号， 2026年1月1日施行）</w:t>
            </w:r>
          </w:p>
          <w:p w14:paraId="6448781E">
            <w:pPr>
              <w:pStyle w:val="3"/>
              <w:keepNext w:val="0"/>
              <w:keepLines w:val="0"/>
              <w:widowControl/>
              <w:numPr>
                <w:ilvl w:val="0"/>
                <w:numId w:val="2"/>
              </w:numPr>
              <w:suppressLineNumbers w:val="0"/>
              <w:spacing w:before="0" w:beforeAutospacing="0" w:after="0" w:afterAutospacing="0" w:line="15" w:lineRule="atLeast"/>
              <w:ind w:left="0" w:leftChars="0" w:right="0" w:firstLine="0" w:firstLineChars="0"/>
              <w:jc w:val="left"/>
              <w:rPr>
                <w:rFonts w:hint="eastAsia" w:ascii="仿宋_GB2312" w:eastAsia="仿宋_GB2312" w:cs="仿宋_GB2312"/>
                <w:b w:val="0"/>
                <w:bCs w:val="0"/>
                <w:i w:val="0"/>
                <w:iCs w:val="0"/>
                <w:color w:val="000000"/>
                <w:spacing w:val="0"/>
                <w:w w:val="100"/>
                <w:sz w:val="24"/>
                <w:szCs w:val="24"/>
                <w:vertAlign w:val="baseline"/>
              </w:rPr>
            </w:pPr>
            <w:r>
              <w:rPr>
                <w:rFonts w:hint="eastAsia" w:ascii="仿宋_GB2312" w:eastAsia="仿宋_GB2312" w:cs="仿宋_GB2312"/>
                <w:b w:val="0"/>
                <w:bCs w:val="0"/>
                <w:i w:val="0"/>
                <w:iCs w:val="0"/>
                <w:color w:val="000000"/>
                <w:spacing w:val="0"/>
                <w:w w:val="100"/>
                <w:sz w:val="24"/>
                <w:szCs w:val="24"/>
                <w:vertAlign w:val="baseline"/>
              </w:rPr>
              <w:t xml:space="preserve"> 《关于加强市属国有企业资源性资产租赁综合监管的指导意见（试行）》（深国资委〔2025〕168 号）</w:t>
            </w:r>
          </w:p>
        </w:tc>
      </w:tr>
    </w:tbl>
    <w:p w14:paraId="177BDB85"/>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A74859"/>
    <w:multiLevelType w:val="multilevel"/>
    <w:tmpl w:val="ECA74859"/>
    <w:lvl w:ilvl="0" w:tentative="0">
      <w:start w:val="1"/>
      <w:numFmt w:val="decimal"/>
      <w:suff w:val="nothing"/>
      <w:lvlText w:val="%1、"/>
      <w:lvlJc w:val="left"/>
      <w:pPr>
        <w:ind w:left="0" w:leftChars="0" w:firstLine="0" w:firstLineChars="0"/>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
    <w:nsid w:val="35DAA82D"/>
    <w:multiLevelType w:val="multilevel"/>
    <w:tmpl w:val="35DAA82D"/>
    <w:lvl w:ilvl="0" w:tentative="0">
      <w:start w:val="1"/>
      <w:numFmt w:val="decimal"/>
      <w:suff w:val="nothing"/>
      <w:lvlText w:val="%1、"/>
      <w:lvlJc w:val="left"/>
      <w:pPr>
        <w:ind w:left="0" w:leftChars="0" w:firstLine="0" w:firstLineChars="0"/>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3352D"/>
    <w:rsid w:val="5ECE3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6036</Words>
  <Characters>6742</Characters>
  <Lines>0</Lines>
  <Paragraphs>0</Paragraphs>
  <TotalTime>3</TotalTime>
  <ScaleCrop>false</ScaleCrop>
  <LinksUpToDate>false</LinksUpToDate>
  <CharactersWithSpaces>6975</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2026-08-20T06:54:00Z</dcterms:created>
  <dc:creator>ROs</dc:creator>
  <cp:lastModifiedBy>陈炟</cp:lastModifiedBy>
  <dcterms:modified xsi:type="dcterms:W3CDTF">2026-08-20T12:32:42Z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eyJoZGlkIjoiMzU0MWZmNzAzYTIxOGE0MTQzZTY3ZjIzMmMzNWNmOTIiLCJ1c2VySWQiOiIxODY4ODg4OTExIn0=</vt:lpwstr>
  </property>
  <property fmtid="{D5CDD505-2E9C-101B-9397-08002B2CF9AE}" pid="4" name="ICV">
    <vt:lpwstr>52C57526E6F445A680FB29EC4283CA92_12</vt:lpwstr>
  </property>
</Properties>
</file>