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99133" w14:textId="77777777" w:rsidR="001136C2" w:rsidRDefault="0037630A" w:rsidP="005828AB">
      <w:pPr>
        <w:pStyle w:val="Title"/>
      </w:pPr>
      <w:r>
        <w:t>Assignment 1 – Ana Penedos</w:t>
      </w:r>
    </w:p>
    <w:p w14:paraId="65041197" w14:textId="77777777" w:rsidR="0037630A" w:rsidRDefault="00A87380" w:rsidP="005828AB">
      <w:pPr>
        <w:pStyle w:val="Subtitle"/>
      </w:pPr>
      <w:r>
        <w:t>UID</w:t>
      </w:r>
      <w:r w:rsidR="0037630A">
        <w:t>: 1932; student n.: 180981575</w:t>
      </w:r>
    </w:p>
    <w:p w14:paraId="6823B34E" w14:textId="77777777" w:rsidR="0037630A" w:rsidRDefault="0037630A" w:rsidP="005828AB">
      <w:pPr>
        <w:pStyle w:val="Heading1"/>
      </w:pPr>
      <w:r>
        <w:t>Dataset 1</w:t>
      </w:r>
      <w:r w:rsidR="00AB7A0D">
        <w:t xml:space="preserve"> Results Report</w:t>
      </w:r>
    </w:p>
    <w:p w14:paraId="3CA2B54A" w14:textId="77777777" w:rsidR="00DD3166" w:rsidRDefault="00AB7A0D" w:rsidP="005828AB">
      <w:r>
        <w:t>In order to investigate the impact of season and latitude on microbial diversity in oceans, seawater samples were collected from 10 separate locations at two times of the year</w:t>
      </w:r>
      <w:r w:rsidR="0008735F">
        <w:t xml:space="preserve"> (January and August)</w:t>
      </w:r>
      <w:r>
        <w:t xml:space="preserve">. Sequences obtained </w:t>
      </w:r>
      <w:r w:rsidR="0008735F">
        <w:t>through</w:t>
      </w:r>
      <w:r>
        <w:t xml:space="preserve"> enrichment and whole genome sequencing (WGS) </w:t>
      </w:r>
      <w:r w:rsidR="0008735F">
        <w:t>were identified using BLASTN</w:t>
      </w:r>
      <w:r w:rsidR="003E7F02">
        <w:t xml:space="preserve"> </w:t>
      </w:r>
      <w:r w:rsidR="003E7F02">
        <w:fldChar w:fldCharType="begin"/>
      </w:r>
      <w:r w:rsidR="003E7F02">
        <w:instrText xml:space="preserve"> ADDIN EN.CITE &lt;EndNote&gt;&lt;Cite&gt;&lt;Author&gt;Altschul&lt;/Author&gt;&lt;Year&gt;1990&lt;/Year&gt;&lt;RecNum&gt;606&lt;/RecNum&gt;&lt;DisplayText&gt;(Altschul et al., 1990)&lt;/DisplayText&gt;&lt;record&gt;&lt;rec-number&gt;606&lt;/rec-number&gt;&lt;foreign-keys&gt;&lt;key app="EN" db-id="0darr0tziprpw0e9spfv5dxn9parpvstwadd" timestamp="1544526475"&gt;606&lt;/key&gt;&lt;/foreign-keys&gt;&lt;ref-type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Biol&lt;/secondary-title&gt;&lt;/titles&gt;&lt;periodical&gt;&lt;full-title&gt;J Mol Biol&lt;/full-title&gt;&lt;abbr-1&gt;Journal of molecular biology&lt;/abbr-1&gt;&lt;/periodical&gt;&lt;pages&gt;403-10&lt;/pages&gt;&lt;volume&gt;215&lt;/volume&gt;&lt;number&gt;3&lt;/number&gt;&lt;keywords&gt;&lt;keyword&gt;Algorithms&lt;/keyword&gt;&lt;keyword&gt;Amino Acid Sequence&lt;/keyword&gt;&lt;keyword&gt;*Base Sequence&lt;/keyword&gt;&lt;keyword&gt;Databases, Factual&lt;/keyword&gt;&lt;keyword&gt;*Mutation&lt;/keyword&gt;&lt;keyword&gt;Sensitivity and Specificity&lt;/keyword&gt;&lt;keyword&gt;Sequence Homology, Nucleic Acid&lt;/keyword&gt;&lt;keyword&gt;*Software&lt;/keyword&gt;&lt;/keywords&gt;&lt;dates&gt;&lt;year&gt;1990&lt;/year&gt;&lt;pub-dates&gt;&lt;date&gt;Oct 5&lt;/date&gt;&lt;/pub-dates&gt;&lt;/dates&gt;&lt;isbn&gt;0022-2836 (Print)&amp;#xD;0022-2836 (Linking)&lt;/isbn&gt;&lt;accession-num&gt;2231712&lt;/accession-num&gt;&lt;urls&gt;&lt;related-urls&gt;&lt;url&gt;https://www.ncbi.nlm.nih.gov/pubmed/2231712&lt;/url&gt;&lt;/related-urls&gt;&lt;/urls&gt;&lt;electronic-resource-num&gt;10.1016/S0022-2836(05)80360-2&lt;/electronic-resource-num&gt;&lt;/record&gt;&lt;/Cite&gt;&lt;/EndNote&gt;</w:instrText>
      </w:r>
      <w:r w:rsidR="003E7F02">
        <w:fldChar w:fldCharType="separate"/>
      </w:r>
      <w:r w:rsidR="003E7F02">
        <w:rPr>
          <w:noProof/>
        </w:rPr>
        <w:t>(Altschul et al., 1990)</w:t>
      </w:r>
      <w:r w:rsidR="003E7F02">
        <w:fldChar w:fldCharType="end"/>
      </w:r>
      <w:r w:rsidR="0008735F">
        <w:t xml:space="preserve">. </w:t>
      </w:r>
      <w:proofErr w:type="spellStart"/>
      <w:r w:rsidR="0008735F">
        <w:t>UniFrac</w:t>
      </w:r>
      <w:proofErr w:type="spellEnd"/>
      <w:r w:rsidR="003E7F02">
        <w:t xml:space="preserve"> </w:t>
      </w:r>
      <w:r w:rsidR="003E7F02">
        <w:fldChar w:fldCharType="begin"/>
      </w:r>
      <w:r w:rsidR="003E7F02">
        <w:instrText xml:space="preserve"> ADDIN EN.CITE &lt;EndNote&gt;&lt;Cite&gt;&lt;Author&gt;Lozupone&lt;/Author&gt;&lt;Year&gt;2005&lt;/Year&gt;&lt;RecNum&gt;607&lt;/RecNum&gt;&lt;DisplayText&gt;(Lozupone and Knight, 2005)&lt;/DisplayText&gt;&lt;record&gt;&lt;rec-number&gt;607&lt;/rec-number&gt;&lt;foreign-keys&gt;&lt;key app="EN" db-id="0darr0tziprpw0e9spfv5dxn9parpvstwadd" timestamp="1544526657"&gt;607&lt;/key&gt;&lt;/foreign-keys&gt;&lt;ref-type name="Journal Article"&gt;17&lt;/ref-type&gt;&lt;contributors&gt;&lt;authors&gt;&lt;author&gt;Lozupone, C.&lt;/author&gt;&lt;author&gt;Knight, R.&lt;/author&gt;&lt;/authors&gt;&lt;/contributors&gt;&lt;auth-address&gt;Department of Chemistry and Biochemistry, University of Colorado, Boulder, CO 80309, USA.&lt;/auth-address&gt;&lt;titles&gt;&lt;title&gt;UniFrac: a new phylogenetic method for comparing microbial communities&lt;/title&gt;&lt;secondary-title&gt;Appl Environ Microbiol&lt;/secondary-title&gt;&lt;/titles&gt;&lt;periodical&gt;&lt;full-title&gt;Appl Environ Microbiol&lt;/full-title&gt;&lt;abbr-1&gt;Applied and environmental microbiology&lt;/abbr-1&gt;&lt;/periodical&gt;&lt;pages&gt;8228-35&lt;/pages&gt;&lt;volume&gt;71&lt;/volume&gt;&lt;number&gt;12&lt;/number&gt;&lt;keywords&gt;&lt;keyword&gt;Bacteria/*classification/*genetics&lt;/keyword&gt;&lt;keyword&gt;*Genetic Techniques&lt;/keyword&gt;&lt;keyword&gt;Geography&lt;/keyword&gt;&lt;keyword&gt;*Phylogeny&lt;/keyword&gt;&lt;keyword&gt;RNA, Ribosomal, 16S/*genetics&lt;/keyword&gt;&lt;/keywords&gt;&lt;dates&gt;&lt;year&gt;2005&lt;/year&gt;&lt;pub-dates&gt;&lt;date&gt;Dec&lt;/date&gt;&lt;/pub-dates&gt;&lt;/dates&gt;&lt;isbn&gt;0099-2240 (Print)&amp;#xD;0099-2240 (Linking)&lt;/isbn&gt;&lt;accession-num&gt;16332807&lt;/accession-num&gt;&lt;urls&gt;&lt;related-urls&gt;&lt;url&gt;https://www.ncbi.nlm.nih.gov/pubmed/16332807&lt;/url&gt;&lt;/related-urls&gt;&lt;/urls&gt;&lt;custom2&gt;PMC1317376&lt;/custom2&gt;&lt;electronic-resource-num&gt;10.1128/AEM.71.12.8228-8235.2005&lt;/electronic-resource-num&gt;&lt;/record&gt;&lt;/Cite&gt;&lt;/EndNote&gt;</w:instrText>
      </w:r>
      <w:r w:rsidR="003E7F02">
        <w:fldChar w:fldCharType="separate"/>
      </w:r>
      <w:r w:rsidR="003E7F02">
        <w:rPr>
          <w:noProof/>
        </w:rPr>
        <w:t>(Lozupone and Knight, 2005)</w:t>
      </w:r>
      <w:r w:rsidR="003E7F02">
        <w:fldChar w:fldCharType="end"/>
      </w:r>
      <w:r w:rsidR="0008735F">
        <w:t xml:space="preserve"> was used as an indicator of microbial diversity, which was expressed </w:t>
      </w:r>
      <w:r w:rsidR="006053DB">
        <w:t>in relation to</w:t>
      </w:r>
      <w:r w:rsidR="0008735F">
        <w:t xml:space="preserve"> a reference sample.</w:t>
      </w:r>
    </w:p>
    <w:p w14:paraId="4911BEAF" w14:textId="77777777" w:rsidR="008257CC" w:rsidRPr="008257CC" w:rsidRDefault="008257CC" w:rsidP="005828AB">
      <w:r w:rsidRPr="008257CC">
        <w:t>A</w:t>
      </w:r>
      <w:r>
        <w:t>.</w:t>
      </w:r>
      <w:r>
        <w:tab/>
      </w:r>
      <w:r>
        <w:tab/>
      </w:r>
      <w:r>
        <w:tab/>
      </w:r>
      <w:r>
        <w:tab/>
      </w:r>
      <w:r>
        <w:tab/>
      </w:r>
      <w:r>
        <w:tab/>
        <w:t xml:space="preserve">    B.</w:t>
      </w:r>
    </w:p>
    <w:p w14:paraId="48CD2181" w14:textId="33C8D001" w:rsidR="008257CC" w:rsidRDefault="00EC47FC" w:rsidP="005828AB">
      <w:r>
        <w:rPr>
          <w:rFonts w:ascii="Helvetica" w:hAnsi="Helvetica" w:cs="Helvetica"/>
          <w:noProof/>
          <w:sz w:val="24"/>
          <w:szCs w:val="24"/>
          <w:lang w:val="en-US"/>
        </w:rPr>
        <w:drawing>
          <wp:inline distT="0" distB="0" distL="0" distR="0" wp14:anchorId="48735520" wp14:editId="0B7F830B">
            <wp:extent cx="2858129" cy="17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129" cy="1764000"/>
                    </a:xfrm>
                    <a:prstGeom prst="rect">
                      <a:avLst/>
                    </a:prstGeom>
                    <a:noFill/>
                    <a:ln>
                      <a:noFill/>
                    </a:ln>
                  </pic:spPr>
                </pic:pic>
              </a:graphicData>
            </a:graphic>
          </wp:inline>
        </w:drawing>
      </w:r>
      <w:r>
        <w:rPr>
          <w:rFonts w:ascii="Helvetica" w:hAnsi="Helvetica" w:cs="Helvetica"/>
          <w:noProof/>
          <w:sz w:val="24"/>
          <w:szCs w:val="24"/>
          <w:lang w:val="en-US"/>
        </w:rPr>
        <w:drawing>
          <wp:inline distT="0" distB="0" distL="0" distR="0" wp14:anchorId="367FBB4F" wp14:editId="2912F473">
            <wp:extent cx="2858129" cy="176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129" cy="1764000"/>
                    </a:xfrm>
                    <a:prstGeom prst="rect">
                      <a:avLst/>
                    </a:prstGeom>
                    <a:noFill/>
                    <a:ln>
                      <a:noFill/>
                    </a:ln>
                  </pic:spPr>
                </pic:pic>
              </a:graphicData>
            </a:graphic>
          </wp:inline>
        </w:drawing>
      </w:r>
      <w:r>
        <w:rPr>
          <w:noProof/>
          <w:lang w:val="en-US"/>
        </w:rPr>
        <w:t xml:space="preserve"> </w:t>
      </w:r>
    </w:p>
    <w:p w14:paraId="008B3B37" w14:textId="7DF6E3D2" w:rsidR="008257CC" w:rsidRDefault="008257CC" w:rsidP="005828AB">
      <w:r w:rsidRPr="008257CC">
        <w:rPr>
          <w:b/>
        </w:rPr>
        <w:t>Figure 1.</w:t>
      </w:r>
      <w:r>
        <w:t xml:space="preserve"> Distribution of observed microbial diversity (</w:t>
      </w:r>
      <w:proofErr w:type="spellStart"/>
      <w:r>
        <w:t>UniFracInd</w:t>
      </w:r>
      <w:proofErr w:type="spellEnd"/>
      <w:r>
        <w:t xml:space="preserve">) values with latitude (A) and season (B). 20 observations were made for each group. Means of the distributions are indicated by the red </w:t>
      </w:r>
      <w:proofErr w:type="spellStart"/>
      <w:r>
        <w:t>losanges</w:t>
      </w:r>
      <w:proofErr w:type="spellEnd"/>
      <w:r>
        <w:t xml:space="preserve"> (</w:t>
      </w:r>
      <w:r w:rsidRPr="008257CC">
        <w:rPr>
          <w:rFonts w:ascii="Wingdings" w:hAnsi="Wingdings"/>
          <w:color w:val="FF0000"/>
          <w:sz w:val="18"/>
          <w:szCs w:val="18"/>
        </w:rPr>
        <w:t></w:t>
      </w:r>
      <w:r w:rsidRPr="008257CC">
        <w:t></w:t>
      </w:r>
      <w:r>
        <w:t>.</w:t>
      </w:r>
    </w:p>
    <w:p w14:paraId="5E790A2E" w14:textId="77777777" w:rsidR="005828AB" w:rsidRPr="005828AB" w:rsidRDefault="003E7F02" w:rsidP="005828AB">
      <w:r w:rsidRPr="005828AB">
        <w:t xml:space="preserve">We find that there is no statistically significant difference in microbial diversity at different latitudes </w:t>
      </w:r>
      <w:r w:rsidR="00B9335F" w:rsidRPr="005828AB">
        <w:t>(</w:t>
      </w:r>
      <w:r w:rsidR="00B9335F" w:rsidRPr="00B561DC">
        <w:rPr>
          <w:i/>
        </w:rPr>
        <w:t>t=</w:t>
      </w:r>
      <w:r w:rsidR="00FC22A9" w:rsidRPr="005828AB">
        <w:t>-1.672</w:t>
      </w:r>
      <w:r w:rsidR="00B9335F" w:rsidRPr="005828AB">
        <w:t xml:space="preserve">, </w:t>
      </w:r>
      <w:proofErr w:type="spellStart"/>
      <w:r w:rsidR="00B9335F" w:rsidRPr="00B561DC">
        <w:rPr>
          <w:i/>
        </w:rPr>
        <w:t>df</w:t>
      </w:r>
      <w:proofErr w:type="spellEnd"/>
      <w:r w:rsidR="00B9335F" w:rsidRPr="00B561DC">
        <w:rPr>
          <w:i/>
        </w:rPr>
        <w:t>=</w:t>
      </w:r>
      <w:r w:rsidR="00FC22A9" w:rsidRPr="005828AB">
        <w:t>37</w:t>
      </w:r>
      <w:r w:rsidR="00B9335F" w:rsidRPr="005828AB">
        <w:t xml:space="preserve">, </w:t>
      </w:r>
      <w:r w:rsidR="00B9335F" w:rsidRPr="00B561DC">
        <w:rPr>
          <w:i/>
        </w:rPr>
        <w:t>P=</w:t>
      </w:r>
      <w:r w:rsidR="00FC22A9" w:rsidRPr="005828AB">
        <w:t>0.1029</w:t>
      </w:r>
      <w:r w:rsidR="00B9335F" w:rsidRPr="005828AB">
        <w:t>)</w:t>
      </w:r>
      <w:r w:rsidR="008257CC" w:rsidRPr="005828AB">
        <w:t xml:space="preserve"> (figure 1A</w:t>
      </w:r>
      <w:r w:rsidR="0048554B" w:rsidRPr="005828AB">
        <w:t>)</w:t>
      </w:r>
      <w:r w:rsidRPr="005828AB">
        <w:t>.</w:t>
      </w:r>
      <w:r w:rsidR="0048554B" w:rsidRPr="005828AB">
        <w:t xml:space="preserve"> </w:t>
      </w:r>
      <w:r w:rsidR="00B9335F" w:rsidRPr="005828AB">
        <w:t>A significance level of α=0.05 was used for all</w:t>
      </w:r>
      <w:r w:rsidR="006053DB" w:rsidRPr="005828AB">
        <w:t xml:space="preserve"> statistical</w:t>
      </w:r>
      <w:r w:rsidR="00B9335F" w:rsidRPr="005828AB">
        <w:t xml:space="preserve"> tests. </w:t>
      </w:r>
      <w:r w:rsidR="00A24823" w:rsidRPr="005828AB">
        <w:t>A previous study reported</w:t>
      </w:r>
      <w:r w:rsidR="00B7707E" w:rsidRPr="005828AB">
        <w:t xml:space="preserve"> higher microbial diversity was found in seawater at higher latitudes </w:t>
      </w:r>
      <w:r w:rsidR="00A24823" w:rsidRPr="005828AB">
        <w:fldChar w:fldCharType="begin"/>
      </w:r>
      <w:r w:rsidR="00A24823" w:rsidRPr="005828AB">
        <w:instrText xml:space="preserve"> ADDIN EN.CITE &lt;EndNote&gt;&lt;Cite&gt;&lt;Author&gt;Ladau&lt;/Author&gt;&lt;Year&gt;2013&lt;/Year&gt;&lt;RecNum&gt;609&lt;/RecNum&gt;&lt;DisplayText&gt;(Ladau et al., 2013)&lt;/DisplayText&gt;&lt;record&gt;&lt;rec-number&gt;609&lt;/rec-number&gt;&lt;foreign-keys&gt;&lt;key app="EN" db-id="0darr0tziprpw0e9spfv5dxn9parpvstwadd" timestamp="1544530710"&gt;609&lt;/key&gt;&lt;/foreign-keys&gt;&lt;ref-type name="Journal Article"&gt;17&lt;/ref-type&gt;&lt;contributors&gt;&lt;authors&gt;&lt;author&gt;Ladau, J.&lt;/author&gt;&lt;author&gt;Sharpton, T. J.&lt;/author&gt;&lt;author&gt;Finucane, M. M.&lt;/author&gt;&lt;author&gt;Jospin, G.&lt;/author&gt;&lt;author&gt;Kembel, S. W.&lt;/author&gt;&lt;author&gt;O&amp;apos;Dwyer, J.&lt;/author&gt;&lt;author&gt;Koeppel, A. F.&lt;/author&gt;&lt;author&gt;Green, J. L.&lt;/author&gt;&lt;author&gt;Pollard, K. S.&lt;/author&gt;&lt;/authors&gt;&lt;/contributors&gt;&lt;auth-address&gt;The Gladstone Institutes, University of California, San Francisco, CA 94158, USA. joshua.ladau@gladstone.ucsf.edu&lt;/auth-address&gt;&lt;titles&gt;&lt;title&gt;Global marine bacterial diversity peaks at high latitudes in winter&lt;/title&gt;&lt;secondary-title&gt;ISME J&lt;/secondary-title&gt;&lt;/titles&gt;&lt;periodical&gt;&lt;full-title&gt;ISME J&lt;/full-title&gt;&lt;/periodical&gt;&lt;pages&gt;1669-77&lt;/pages&gt;&lt;volume&gt;7&lt;/volume&gt;&lt;number&gt;9&lt;/number&gt;&lt;keywords&gt;&lt;keyword&gt;Bacteria/genetics&lt;/keyword&gt;&lt;keyword&gt;*Bacterial Physiological Phenomena&lt;/keyword&gt;&lt;keyword&gt;*Biodiversity&lt;/keyword&gt;&lt;keyword&gt;DNA, Ribosomal/genetics&lt;/keyword&gt;&lt;keyword&gt;Environment&lt;/keyword&gt;&lt;keyword&gt;Humans&lt;/keyword&gt;&lt;keyword&gt;*Models, Biological&lt;/keyword&gt;&lt;keyword&gt;Oceans and Seas&lt;/keyword&gt;&lt;keyword&gt;*Seasons&lt;/keyword&gt;&lt;keyword&gt;Seawater/*microbiology&lt;/keyword&gt;&lt;keyword&gt;*Water Microbiology&lt;/keyword&gt;&lt;/keywords&gt;&lt;dates&gt;&lt;year&gt;2013&lt;/year&gt;&lt;pub-dates&gt;&lt;date&gt;Sep&lt;/date&gt;&lt;/pub-dates&gt;&lt;/dates&gt;&lt;isbn&gt;1751-7370 (Electronic)&amp;#xD;1751-7362 (Linking)&lt;/isbn&gt;&lt;accession-num&gt;23514781&lt;/accession-num&gt;&lt;urls&gt;&lt;related-urls&gt;&lt;url&gt;https://www.ncbi.nlm.nih.gov/pubmed/23514781&lt;/url&gt;&lt;/related-urls&gt;&lt;/urls&gt;&lt;custom2&gt;PMC3749493&lt;/custom2&gt;&lt;electronic-resource-num&gt;10.1038/ismej.2013.37&lt;/electronic-resource-num&gt;&lt;/record&gt;&lt;/Cite&gt;&lt;/EndNote&gt;</w:instrText>
      </w:r>
      <w:r w:rsidR="00A24823" w:rsidRPr="005828AB">
        <w:fldChar w:fldCharType="separate"/>
      </w:r>
      <w:r w:rsidR="00A24823" w:rsidRPr="005828AB">
        <w:t>(Ladau et al., 2013)</w:t>
      </w:r>
      <w:r w:rsidR="00A24823" w:rsidRPr="005828AB">
        <w:fldChar w:fldCharType="end"/>
      </w:r>
      <w:r w:rsidR="00B7707E" w:rsidRPr="005828AB">
        <w:t xml:space="preserve">. </w:t>
      </w:r>
      <w:r w:rsidR="0048554B" w:rsidRPr="005828AB">
        <w:t>When microbial diversity is measured relatively to the season at which the samples were collected, we find a statistically significant effect of time of year over diversity (</w:t>
      </w:r>
      <w:r w:rsidR="00B9335F" w:rsidRPr="00B561DC">
        <w:rPr>
          <w:i/>
        </w:rPr>
        <w:t>t=</w:t>
      </w:r>
      <w:r w:rsidR="00FC22A9" w:rsidRPr="005828AB">
        <w:t>2.5429</w:t>
      </w:r>
      <w:r w:rsidR="0048554B" w:rsidRPr="005828AB">
        <w:t xml:space="preserve">, </w:t>
      </w:r>
      <w:proofErr w:type="spellStart"/>
      <w:r w:rsidR="00B9335F" w:rsidRPr="00B561DC">
        <w:rPr>
          <w:i/>
        </w:rPr>
        <w:t>df</w:t>
      </w:r>
      <w:proofErr w:type="spellEnd"/>
      <w:r w:rsidR="00B9335F" w:rsidRPr="00B561DC">
        <w:rPr>
          <w:i/>
        </w:rPr>
        <w:t>=</w:t>
      </w:r>
      <w:r w:rsidR="00FC22A9" w:rsidRPr="005828AB">
        <w:t>37</w:t>
      </w:r>
      <w:r w:rsidR="00B9335F" w:rsidRPr="005828AB">
        <w:t xml:space="preserve">, </w:t>
      </w:r>
      <w:r w:rsidR="00B9335F" w:rsidRPr="00B561DC">
        <w:rPr>
          <w:i/>
        </w:rPr>
        <w:t>P=</w:t>
      </w:r>
      <w:r w:rsidR="00FC22A9" w:rsidRPr="005828AB">
        <w:t>0.01534</w:t>
      </w:r>
      <w:r w:rsidR="0048554B" w:rsidRPr="005828AB">
        <w:t>). From the observation of the data (figure 1B) we can conclude that there is a higher microbial diversity in August</w:t>
      </w:r>
      <w:r w:rsidR="009873C4" w:rsidRPr="005828AB">
        <w:t xml:space="preserve"> (</w:t>
      </w:r>
      <w:r w:rsidR="009873C4" w:rsidRPr="00B561DC">
        <w:rPr>
          <w:i/>
        </w:rPr>
        <w:t>M=</w:t>
      </w:r>
      <w:r w:rsidR="000954C6" w:rsidRPr="005828AB">
        <w:t>0.5589</w:t>
      </w:r>
      <w:r w:rsidR="009873C4" w:rsidRPr="005828AB">
        <w:t xml:space="preserve">, </w:t>
      </w:r>
      <w:r w:rsidR="009873C4" w:rsidRPr="00B561DC">
        <w:rPr>
          <w:i/>
        </w:rPr>
        <w:t>SD=</w:t>
      </w:r>
      <w:r w:rsidR="000954C6" w:rsidRPr="005828AB">
        <w:t>1.5519</w:t>
      </w:r>
      <w:r w:rsidR="009873C4" w:rsidRPr="005828AB">
        <w:t>)</w:t>
      </w:r>
      <w:r w:rsidR="0048554B" w:rsidRPr="005828AB">
        <w:t xml:space="preserve"> than in January</w:t>
      </w:r>
      <w:r w:rsidR="009873C4" w:rsidRPr="005828AB">
        <w:t xml:space="preserve"> (</w:t>
      </w:r>
      <w:r w:rsidR="009873C4" w:rsidRPr="00B561DC">
        <w:rPr>
          <w:i/>
        </w:rPr>
        <w:t>M=</w:t>
      </w:r>
      <w:r w:rsidR="000954C6" w:rsidRPr="005828AB">
        <w:t>-0.8236</w:t>
      </w:r>
      <w:r w:rsidR="009873C4" w:rsidRPr="005828AB">
        <w:t xml:space="preserve">, </w:t>
      </w:r>
      <w:r w:rsidR="009873C4" w:rsidRPr="00B561DC">
        <w:rPr>
          <w:i/>
        </w:rPr>
        <w:t>SD=</w:t>
      </w:r>
      <w:r w:rsidR="000954C6" w:rsidRPr="005828AB">
        <w:t>1.8717</w:t>
      </w:r>
      <w:r w:rsidR="009873C4" w:rsidRPr="005828AB">
        <w:t>)</w:t>
      </w:r>
      <w:r w:rsidR="0048554B" w:rsidRPr="005828AB">
        <w:t>.</w:t>
      </w:r>
      <w:r w:rsidR="006053DB" w:rsidRPr="005828AB">
        <w:t xml:space="preserve"> </w:t>
      </w:r>
    </w:p>
    <w:p w14:paraId="786B6F4A" w14:textId="0782681E" w:rsidR="003E7F02" w:rsidRDefault="006053DB" w:rsidP="005828AB">
      <w:r>
        <w:t xml:space="preserve">These </w:t>
      </w:r>
      <w:r w:rsidR="00B561DC">
        <w:t>are not in accord with</w:t>
      </w:r>
      <w:r w:rsidR="00A24823">
        <w:t xml:space="preserve"> previously described </w:t>
      </w:r>
      <w:r>
        <w:t>trend</w:t>
      </w:r>
      <w:r w:rsidR="00A24823">
        <w:t>s</w:t>
      </w:r>
      <w:r>
        <w:t xml:space="preserve">, </w:t>
      </w:r>
      <w:r w:rsidR="00A24823">
        <w:t xml:space="preserve">where oceanic microbial diversity was found to increase in the winter </w:t>
      </w:r>
      <w:r w:rsidR="00A24823">
        <w:fldChar w:fldCharType="begin"/>
      </w:r>
      <w:r w:rsidR="00A24823">
        <w:instrText xml:space="preserve"> ADDIN EN.CITE &lt;EndNote&gt;&lt;Cite&gt;&lt;Author&gt;Ladau&lt;/Author&gt;&lt;Year&gt;2013&lt;/Year&gt;&lt;RecNum&gt;609&lt;/RecNum&gt;&lt;DisplayText&gt;(Ladau et al., 2013)&lt;/DisplayText&gt;&lt;record&gt;&lt;rec-number&gt;609&lt;/rec-number&gt;&lt;foreign-keys&gt;&lt;key app="EN" db-id="0darr0tziprpw0e9spfv5dxn9parpvstwadd" timestamp="1544530710"&gt;609&lt;/key&gt;&lt;/foreign-keys&gt;&lt;ref-type name="Journal Article"&gt;17&lt;/ref-type&gt;&lt;contributors&gt;&lt;authors&gt;&lt;author&gt;Ladau, J.&lt;/author&gt;&lt;author&gt;Sharpton, T. J.&lt;/author&gt;&lt;author&gt;Finucane, M. M.&lt;/author&gt;&lt;author&gt;Jospin, G.&lt;/author&gt;&lt;author&gt;Kembel, S. W.&lt;/author&gt;&lt;author&gt;O&amp;apos;Dwyer, J.&lt;/author&gt;&lt;author&gt;Koeppel, A. F.&lt;/author&gt;&lt;author&gt;Green, J. L.&lt;/author&gt;&lt;author&gt;Pollard, K. S.&lt;/author&gt;&lt;/authors&gt;&lt;/contributors&gt;&lt;auth-address&gt;The Gladstone Institutes, University of California, San Francisco, CA 94158, USA. joshua.ladau@gladstone.ucsf.edu&lt;/auth-address&gt;&lt;titles&gt;&lt;title&gt;Global marine bacterial diversity peaks at high latitudes in winter&lt;/title&gt;&lt;secondary-title&gt;ISME J&lt;/secondary-title&gt;&lt;/titles&gt;&lt;periodical&gt;&lt;full-title&gt;ISME J&lt;/full-title&gt;&lt;/periodical&gt;&lt;pages&gt;1669-77&lt;/pages&gt;&lt;volume&gt;7&lt;/volume&gt;&lt;number&gt;9&lt;/number&gt;&lt;keywords&gt;&lt;keyword&gt;Bacteria/genetics&lt;/keyword&gt;&lt;keyword&gt;*Bacterial Physiological Phenomena&lt;/keyword&gt;&lt;keyword&gt;*Biodiversity&lt;/keyword&gt;&lt;keyword&gt;DNA, Ribosomal/genetics&lt;/keyword&gt;&lt;keyword&gt;Environment&lt;/keyword&gt;&lt;keyword&gt;Humans&lt;/keyword&gt;&lt;keyword&gt;*Models, Biological&lt;/keyword&gt;&lt;keyword&gt;Oceans and Seas&lt;/keyword&gt;&lt;keyword&gt;*Seasons&lt;/keyword&gt;&lt;keyword&gt;Seawater/*microbiology&lt;/keyword&gt;&lt;keyword&gt;*Water Microbiology&lt;/keyword&gt;&lt;/keywords&gt;&lt;dates&gt;&lt;year&gt;2013&lt;/year&gt;&lt;pub-dates&gt;&lt;date&gt;Sep&lt;/date&gt;&lt;/pub-dates&gt;&lt;/dates&gt;&lt;isbn&gt;1751-7370 (Electronic)&amp;#xD;1751-7362 (Linking)&lt;/isbn&gt;&lt;accession-num&gt;23514781&lt;/accession-num&gt;&lt;urls&gt;&lt;related-urls&gt;&lt;url&gt;https://www.ncbi.nlm.nih.gov/pubmed/23514781&lt;/url&gt;&lt;/related-urls&gt;&lt;/urls&gt;&lt;custom2&gt;PMC3749493&lt;/custom2&gt;&lt;electronic-resource-num&gt;10.1038/ismej.2013.37&lt;/electronic-resource-num&gt;&lt;/record&gt;&lt;/Cite&gt;&lt;/EndNote&gt;</w:instrText>
      </w:r>
      <w:r w:rsidR="00A24823">
        <w:fldChar w:fldCharType="separate"/>
      </w:r>
      <w:r w:rsidR="00A24823">
        <w:rPr>
          <w:noProof/>
        </w:rPr>
        <w:t>(Ladau et al., 2013)</w:t>
      </w:r>
      <w:r w:rsidR="00A24823">
        <w:fldChar w:fldCharType="end"/>
      </w:r>
      <w:r w:rsidR="00A24823">
        <w:t xml:space="preserve">, or where no effect of seasonality was found </w:t>
      </w:r>
      <w:r w:rsidR="00A24823">
        <w:fldChar w:fldCharType="begin"/>
      </w:r>
      <w:r w:rsidR="00A24823">
        <w:instrText xml:space="preserve"> ADDIN EN.CITE &lt;EndNote&gt;&lt;Cite&gt;&lt;Author&gt;Suh&lt;/Author&gt;&lt;Year&gt;2015&lt;/Year&gt;&lt;RecNum&gt;608&lt;/RecNum&gt;&lt;DisplayText&gt;(Suh et al., 2015)&lt;/DisplayText&gt;&lt;record&gt;&lt;rec-number&gt;608&lt;/rec-number&gt;&lt;foreign-keys&gt;&lt;key app="EN" db-id="0darr0tziprpw0e9spfv5dxn9parpvstwadd" timestamp="1544530109"&gt;608&lt;/key&gt;&lt;/foreign-keys&gt;&lt;ref-type name="Journal Article"&gt;17&lt;/ref-type&gt;&lt;contributors&gt;&lt;authors&gt;&lt;author&gt;Suh, S. S.&lt;/author&gt;&lt;author&gt;Park, M.&lt;/author&gt;&lt;author&gt;Hwang, J.&lt;/author&gt;&lt;author&gt;Kil, E. J.&lt;/author&gt;&lt;author&gt;Jung, S. W.&lt;/author&gt;&lt;author&gt;Lee, S.&lt;/author&gt;&lt;author&gt;Lee, T. K.&lt;/author&gt;&lt;/authors&gt;&lt;/contributors&gt;&lt;auth-address&gt;South Sea Environment Research Department, Korea Institute of Ocean Science and Technology, Geoje, 656-830, Republic of Korea.&amp;#xD;South Sea Environment Research Department, Korea Institute of Ocean Science and Technology, Geoje, 656-830, Republic of Korea; Korea University of Science and Technology, Daejeon, 305-350, Republic of Korea.&amp;#xD;Department of Genetic Engineering Sungkyunkwan University, Suwon, 440-746, Republic of Korea.&lt;/auth-address&gt;&lt;titles&gt;&lt;title&gt;Seasonal Dynamics of Marine Microbial Community in the South Sea of Korea&lt;/title&gt;&lt;secondary-title&gt;PLoS One&lt;/secondary-title&gt;&lt;/titles&gt;&lt;periodical&gt;&lt;full-title&gt;PLoS ONE&lt;/full-title&gt;&lt;/periodical&gt;&lt;pages&gt;e0131633&lt;/pages&gt;&lt;volume&gt;10&lt;/volume&gt;&lt;number&gt;6&lt;/number&gt;&lt;keywords&gt;&lt;keyword&gt;Bacteria/classification/genetics&lt;/keyword&gt;&lt;keyword&gt;*Biodiversity&lt;/keyword&gt;&lt;keyword&gt;Cluster Analysis&lt;/keyword&gt;&lt;keyword&gt;Evolution, Molecular&lt;/keyword&gt;&lt;keyword&gt;Phylogeny&lt;/keyword&gt;&lt;keyword&gt;RNA, Ribosomal, 16S/genetics&lt;/keyword&gt;&lt;keyword&gt;Republic of Korea&lt;/keyword&gt;&lt;keyword&gt;*Seasons&lt;/keyword&gt;&lt;keyword&gt;Seawater/*microbiology&lt;/keyword&gt;&lt;keyword&gt;*Water Microbiology&lt;/keyword&gt;&lt;/keywords&gt;&lt;dates&gt;&lt;year&gt;2015&lt;/year&gt;&lt;/dates&gt;&lt;isbn&gt;1932-6203 (Electronic)&amp;#xD;1932-6203 (Linking)&lt;/isbn&gt;&lt;accession-num&gt;26121668&lt;/accession-num&gt;&lt;urls&gt;&lt;related-urls&gt;&lt;url&gt;https://www.ncbi.nlm.nih.gov/pubmed/26121668&lt;/url&gt;&lt;/related-urls&gt;&lt;/urls&gt;&lt;custom2&gt;PMC4487691&lt;/custom2&gt;&lt;electronic-resource-num&gt;10.1371/journal.pone.0131633&lt;/electronic-resource-num&gt;&lt;/record&gt;&lt;/Cite&gt;&lt;/EndNote&gt;</w:instrText>
      </w:r>
      <w:r w:rsidR="00A24823">
        <w:fldChar w:fldCharType="separate"/>
      </w:r>
      <w:r w:rsidR="00A24823">
        <w:rPr>
          <w:noProof/>
        </w:rPr>
        <w:t>(Suh et al., 2015)</w:t>
      </w:r>
      <w:r w:rsidR="00A24823">
        <w:fldChar w:fldCharType="end"/>
      </w:r>
      <w:r w:rsidR="00A24823">
        <w:t>. We</w:t>
      </w:r>
      <w:r w:rsidR="009873C4">
        <w:t xml:space="preserve"> tested whether</w:t>
      </w:r>
      <w:r w:rsidR="00E844DF">
        <w:t xml:space="preserve"> taking into account</w:t>
      </w:r>
      <w:r w:rsidR="009873C4">
        <w:t xml:space="preserve"> the interaction of latitude and season could better explain our results, but found no</w:t>
      </w:r>
      <w:r w:rsidR="00B561DC">
        <w:t xml:space="preserve"> statistically</w:t>
      </w:r>
      <w:r w:rsidR="009873C4">
        <w:t xml:space="preserve"> significant evidence for this (</w:t>
      </w:r>
      <w:r w:rsidR="00D0701B" w:rsidRPr="00D0701B">
        <w:rPr>
          <w:i/>
        </w:rPr>
        <w:t>F=</w:t>
      </w:r>
      <w:r w:rsidR="00D0701B" w:rsidRPr="00D0701B">
        <w:t>2.3069</w:t>
      </w:r>
      <w:r w:rsidR="00D0701B">
        <w:t xml:space="preserve">, </w:t>
      </w:r>
      <w:proofErr w:type="spellStart"/>
      <w:r w:rsidR="00D0701B" w:rsidRPr="00D0701B">
        <w:rPr>
          <w:i/>
        </w:rPr>
        <w:t>df</w:t>
      </w:r>
      <w:proofErr w:type="spellEnd"/>
      <w:r w:rsidR="00D0701B" w:rsidRPr="00D0701B">
        <w:rPr>
          <w:i/>
        </w:rPr>
        <w:t>=</w:t>
      </w:r>
      <w:r w:rsidR="00D0701B">
        <w:t xml:space="preserve">1, </w:t>
      </w:r>
      <w:r w:rsidR="00D0701B" w:rsidRPr="00D0701B">
        <w:rPr>
          <w:i/>
        </w:rPr>
        <w:t>P=</w:t>
      </w:r>
      <w:r w:rsidR="00D0701B" w:rsidRPr="00D0701B">
        <w:t>0.13753</w:t>
      </w:r>
      <w:r w:rsidR="009873C4">
        <w:t xml:space="preserve">). </w:t>
      </w:r>
    </w:p>
    <w:p w14:paraId="4C996092" w14:textId="77777777" w:rsidR="003E7F02" w:rsidRPr="003E7F02" w:rsidRDefault="003E7F02" w:rsidP="005828AB">
      <w:pPr>
        <w:pStyle w:val="Heading2"/>
      </w:pPr>
      <w:r>
        <w:t>References</w:t>
      </w:r>
    </w:p>
    <w:p w14:paraId="331A9BA1" w14:textId="77777777" w:rsidR="00A24823" w:rsidRPr="00A24823" w:rsidRDefault="003E7F02" w:rsidP="005828AB">
      <w:pPr>
        <w:pStyle w:val="EndNoteBibliography"/>
      </w:pPr>
      <w:r>
        <w:fldChar w:fldCharType="begin"/>
      </w:r>
      <w:r>
        <w:instrText xml:space="preserve"> ADDIN EN.REFLIST </w:instrText>
      </w:r>
      <w:r>
        <w:fldChar w:fldCharType="separate"/>
      </w:r>
      <w:r w:rsidR="00A24823" w:rsidRPr="00A24823">
        <w:t xml:space="preserve">ALTSCHUL, S. F., GISH, W., MILLER, W., MYERS, E. W. &amp; LIPMAN, D. J. 1990. Basic local alignment search tool. </w:t>
      </w:r>
      <w:r w:rsidR="00A24823" w:rsidRPr="00A24823">
        <w:rPr>
          <w:i/>
        </w:rPr>
        <w:t>J Mol Biol,</w:t>
      </w:r>
      <w:r w:rsidR="00A24823" w:rsidRPr="00A24823">
        <w:t xml:space="preserve"> 215</w:t>
      </w:r>
      <w:r w:rsidR="00A24823" w:rsidRPr="00A24823">
        <w:rPr>
          <w:b/>
        </w:rPr>
        <w:t>,</w:t>
      </w:r>
      <w:r w:rsidR="00A24823" w:rsidRPr="00A24823">
        <w:t xml:space="preserve"> 403-10.</w:t>
      </w:r>
    </w:p>
    <w:p w14:paraId="1ED13A1F" w14:textId="77777777" w:rsidR="00A24823" w:rsidRPr="00A24823" w:rsidRDefault="00A24823" w:rsidP="005828AB">
      <w:pPr>
        <w:pStyle w:val="EndNoteBibliography"/>
      </w:pPr>
      <w:r w:rsidRPr="00A24823">
        <w:lastRenderedPageBreak/>
        <w:t xml:space="preserve">LADAU, J., SHARPTON, T. J., FINUCANE, M. M., JOSPIN, G., KEMBEL, S. W., O'DWYER, J., KOEPPEL, A. F., GREEN, J. L. &amp; POLLARD, K. S. 2013. Global marine bacterial diversity peaks at high latitudes in winter. </w:t>
      </w:r>
      <w:r w:rsidRPr="00A24823">
        <w:rPr>
          <w:i/>
        </w:rPr>
        <w:t>ISME J,</w:t>
      </w:r>
      <w:r w:rsidRPr="00A24823">
        <w:t xml:space="preserve"> 7</w:t>
      </w:r>
      <w:r w:rsidRPr="00A24823">
        <w:rPr>
          <w:b/>
        </w:rPr>
        <w:t>,</w:t>
      </w:r>
      <w:r w:rsidRPr="00A24823">
        <w:t xml:space="preserve"> 1669-77.</w:t>
      </w:r>
    </w:p>
    <w:p w14:paraId="5BAF6770" w14:textId="77777777" w:rsidR="00A24823" w:rsidRPr="00A24823" w:rsidRDefault="00A24823" w:rsidP="005828AB">
      <w:pPr>
        <w:pStyle w:val="EndNoteBibliography"/>
      </w:pPr>
      <w:r w:rsidRPr="00A24823">
        <w:t xml:space="preserve">LOZUPONE, C. &amp; KNIGHT, R. 2005. UniFrac: a new phylogenetic method for comparing microbial communities. </w:t>
      </w:r>
      <w:r w:rsidRPr="00A24823">
        <w:rPr>
          <w:i/>
        </w:rPr>
        <w:t>Appl Environ Microbiol,</w:t>
      </w:r>
      <w:r w:rsidRPr="00A24823">
        <w:t xml:space="preserve"> 71</w:t>
      </w:r>
      <w:r w:rsidRPr="00A24823">
        <w:rPr>
          <w:b/>
        </w:rPr>
        <w:t>,</w:t>
      </w:r>
      <w:r w:rsidRPr="00A24823">
        <w:t xml:space="preserve"> 8228-35.</w:t>
      </w:r>
    </w:p>
    <w:p w14:paraId="73202C05" w14:textId="77777777" w:rsidR="00A24823" w:rsidRPr="00A24823" w:rsidRDefault="00A24823" w:rsidP="005828AB">
      <w:pPr>
        <w:pStyle w:val="EndNoteBibliography"/>
      </w:pPr>
      <w:r w:rsidRPr="00A24823">
        <w:t xml:space="preserve">SUH, S. S., PARK, M., HWANG, J., KIL, E. J., JUNG, S. W., LEE, S. &amp; LEE, T. K. 2015. Seasonal Dynamics of Marine Microbial Community in the South Sea of Korea. </w:t>
      </w:r>
      <w:r w:rsidRPr="00A24823">
        <w:rPr>
          <w:i/>
        </w:rPr>
        <w:t>PLoS One,</w:t>
      </w:r>
      <w:r w:rsidRPr="00A24823">
        <w:t xml:space="preserve"> 10</w:t>
      </w:r>
      <w:r w:rsidRPr="00A24823">
        <w:rPr>
          <w:b/>
        </w:rPr>
        <w:t>,</w:t>
      </w:r>
      <w:r w:rsidRPr="00A24823">
        <w:t xml:space="preserve"> e0131633.</w:t>
      </w:r>
    </w:p>
    <w:p w14:paraId="3445B115" w14:textId="080AF01E" w:rsidR="009873C4" w:rsidRDefault="003E7F02" w:rsidP="005828AB">
      <w:pPr>
        <w:pStyle w:val="Heading1"/>
        <w:rPr>
          <w:lang w:val="pt-PT"/>
        </w:rPr>
      </w:pPr>
      <w:r>
        <w:fldChar w:fldCharType="end"/>
      </w:r>
      <w:proofErr w:type="spellStart"/>
      <w:r w:rsidR="009873C4" w:rsidRPr="0038144F">
        <w:rPr>
          <w:lang w:val="pt-PT"/>
        </w:rPr>
        <w:t>Dataset</w:t>
      </w:r>
      <w:proofErr w:type="spellEnd"/>
      <w:r w:rsidR="009873C4" w:rsidRPr="0038144F">
        <w:rPr>
          <w:lang w:val="pt-PT"/>
        </w:rPr>
        <w:t xml:space="preserve"> 2 Results Report</w:t>
      </w:r>
    </w:p>
    <w:p w14:paraId="144DA292" w14:textId="03D25DB7" w:rsidR="005828AB" w:rsidRDefault="001B205B" w:rsidP="005828AB">
      <w:pPr>
        <w:rPr>
          <w:shd w:val="clear" w:color="auto" w:fill="FFFFFF"/>
        </w:rPr>
      </w:pPr>
      <w:r w:rsidRPr="005828AB">
        <w:rPr>
          <w:shd w:val="clear" w:color="auto" w:fill="FFFFFF"/>
        </w:rPr>
        <w:t xml:space="preserve">30 genes with homology to luciferase were </w:t>
      </w:r>
      <w:r>
        <w:rPr>
          <w:shd w:val="clear" w:color="auto" w:fill="FFFFFF"/>
        </w:rPr>
        <w:t xml:space="preserve">found amongst the </w:t>
      </w:r>
      <w:r w:rsidR="005828AB" w:rsidRPr="005828AB">
        <w:rPr>
          <w:shd w:val="clear" w:color="auto" w:fill="FFFFFF"/>
        </w:rPr>
        <w:t xml:space="preserve">900 coding loci from 208 species of the </w:t>
      </w:r>
      <w:proofErr w:type="spellStart"/>
      <w:r w:rsidR="005828AB" w:rsidRPr="005828AB">
        <w:rPr>
          <w:i/>
          <w:shd w:val="clear" w:color="auto" w:fill="FFFFFF"/>
        </w:rPr>
        <w:t>Brassicaceae</w:t>
      </w:r>
      <w:proofErr w:type="spellEnd"/>
      <w:r w:rsidR="005828AB" w:rsidRPr="005828AB">
        <w:rPr>
          <w:shd w:val="clear" w:color="auto" w:fill="FFFFFF"/>
        </w:rPr>
        <w:t xml:space="preserve"> family sequenced in the context of</w:t>
      </w:r>
      <w:r w:rsidR="005828AB">
        <w:rPr>
          <w:shd w:val="clear" w:color="auto" w:fill="FFFFFF"/>
        </w:rPr>
        <w:t xml:space="preserve"> </w:t>
      </w:r>
      <w:r w:rsidR="005828AB" w:rsidRPr="005828AB">
        <w:rPr>
          <w:shd w:val="clear" w:color="auto" w:fill="FFFFFF"/>
        </w:rPr>
        <w:t xml:space="preserve">this RNA </w:t>
      </w:r>
      <w:proofErr w:type="spellStart"/>
      <w:r w:rsidR="005828AB" w:rsidRPr="005828AB">
        <w:rPr>
          <w:shd w:val="clear" w:color="auto" w:fill="FFFFFF"/>
        </w:rPr>
        <w:t>seq</w:t>
      </w:r>
      <w:proofErr w:type="spellEnd"/>
      <w:r w:rsidR="005828AB" w:rsidRPr="005828AB">
        <w:rPr>
          <w:shd w:val="clear" w:color="auto" w:fill="FFFFFF"/>
        </w:rPr>
        <w:t xml:space="preserve"> study. The</w:t>
      </w:r>
      <w:r w:rsidR="005828AB">
        <w:rPr>
          <w:shd w:val="clear" w:color="auto" w:fill="FFFFFF"/>
        </w:rPr>
        <w:t xml:space="preserve"> </w:t>
      </w:r>
      <w:r w:rsidR="005828AB" w:rsidRPr="005828AB">
        <w:rPr>
          <w:shd w:val="clear" w:color="auto" w:fill="FFFFFF"/>
        </w:rPr>
        <w:t xml:space="preserve">expression levels of these luciferase </w:t>
      </w:r>
      <w:proofErr w:type="spellStart"/>
      <w:r w:rsidR="005828AB" w:rsidRPr="005828AB">
        <w:rPr>
          <w:shd w:val="clear" w:color="auto" w:fill="FFFFFF"/>
        </w:rPr>
        <w:t>orthologues</w:t>
      </w:r>
      <w:proofErr w:type="spellEnd"/>
      <w:r w:rsidR="005828AB" w:rsidRPr="005828AB">
        <w:rPr>
          <w:shd w:val="clear" w:color="auto" w:fill="FFFFFF"/>
        </w:rPr>
        <w:t xml:space="preserve"> was determined for each species and the</w:t>
      </w:r>
      <w:r w:rsidR="005828AB">
        <w:rPr>
          <w:shd w:val="clear" w:color="auto" w:fill="FFFFFF"/>
        </w:rPr>
        <w:t xml:space="preserve"> </w:t>
      </w:r>
      <w:r w:rsidR="005828AB" w:rsidRPr="005828AB">
        <w:rPr>
          <w:shd w:val="clear" w:color="auto" w:fill="FFFFFF"/>
        </w:rPr>
        <w:t xml:space="preserve">pairwise genetic distance between each luciferase homologue and that found in </w:t>
      </w:r>
      <w:r w:rsidR="005828AB" w:rsidRPr="005828AB">
        <w:rPr>
          <w:i/>
          <w:shd w:val="clear" w:color="auto" w:fill="FFFFFF"/>
        </w:rPr>
        <w:t>Arabidopsis thaliana</w:t>
      </w:r>
      <w:r w:rsidR="005828AB" w:rsidRPr="005828AB">
        <w:rPr>
          <w:shd w:val="clear" w:color="auto" w:fill="FFFFFF"/>
        </w:rPr>
        <w:t xml:space="preserve"> was calculated. No statistically significant correlation was found between expression</w:t>
      </w:r>
      <w:r w:rsidR="005828AB">
        <w:rPr>
          <w:shd w:val="clear" w:color="auto" w:fill="FFFFFF"/>
        </w:rPr>
        <w:t xml:space="preserve"> </w:t>
      </w:r>
      <w:r w:rsidR="005828AB" w:rsidRPr="005828AB">
        <w:rPr>
          <w:shd w:val="clear" w:color="auto" w:fill="FFFFFF"/>
        </w:rPr>
        <w:t xml:space="preserve">levels of the putative luciferase homologues and the genetic distance to the </w:t>
      </w:r>
      <w:r w:rsidR="005828AB" w:rsidRPr="005828AB">
        <w:rPr>
          <w:i/>
          <w:shd w:val="clear" w:color="auto" w:fill="FFFFFF"/>
        </w:rPr>
        <w:t>Arabidopsis thaliana</w:t>
      </w:r>
      <w:r w:rsidR="005828AB">
        <w:rPr>
          <w:shd w:val="clear" w:color="auto" w:fill="FFFFFF"/>
        </w:rPr>
        <w:t xml:space="preserve"> </w:t>
      </w:r>
      <w:r w:rsidR="005828AB" w:rsidRPr="005828AB">
        <w:rPr>
          <w:shd w:val="clear" w:color="auto" w:fill="FFFFFF"/>
        </w:rPr>
        <w:t>homologue sequence (</w:t>
      </w:r>
      <w:r w:rsidR="005828AB" w:rsidRPr="00FE7FD6">
        <w:rPr>
          <w:i/>
          <w:shd w:val="clear" w:color="auto" w:fill="FFFFFF"/>
        </w:rPr>
        <w:t>R</w:t>
      </w:r>
      <w:r w:rsidR="005828AB" w:rsidRPr="00FE7FD6">
        <w:rPr>
          <w:i/>
          <w:shd w:val="clear" w:color="auto" w:fill="FFFFFF"/>
          <w:vertAlign w:val="superscript"/>
        </w:rPr>
        <w:t>2</w:t>
      </w:r>
      <w:r w:rsidR="005828AB" w:rsidRPr="00FE7FD6">
        <w:rPr>
          <w:i/>
          <w:shd w:val="clear" w:color="auto" w:fill="FFFFFF"/>
        </w:rPr>
        <w:t>=</w:t>
      </w:r>
      <w:r w:rsidR="00AE44AC" w:rsidRPr="00AE44AC">
        <w:rPr>
          <w:shd w:val="clear" w:color="auto" w:fill="FFFFFF"/>
        </w:rPr>
        <w:t>0.1037</w:t>
      </w:r>
      <w:r w:rsidR="00AE44AC">
        <w:rPr>
          <w:shd w:val="clear" w:color="auto" w:fill="FFFFFF"/>
        </w:rPr>
        <w:t xml:space="preserve">, </w:t>
      </w:r>
      <w:proofErr w:type="gramStart"/>
      <w:r w:rsidR="00AE44AC" w:rsidRPr="00FE7FD6">
        <w:rPr>
          <w:i/>
          <w:shd w:val="clear" w:color="auto" w:fill="FFFFFF"/>
        </w:rPr>
        <w:t>F</w:t>
      </w:r>
      <w:r w:rsidR="00AE44AC">
        <w:rPr>
          <w:shd w:val="clear" w:color="auto" w:fill="FFFFFF"/>
        </w:rPr>
        <w:t>(</w:t>
      </w:r>
      <w:proofErr w:type="gramEnd"/>
      <w:r w:rsidR="00AE44AC">
        <w:rPr>
          <w:shd w:val="clear" w:color="auto" w:fill="FFFFFF"/>
        </w:rPr>
        <w:t>1</w:t>
      </w:r>
      <w:r w:rsidR="005828AB" w:rsidRPr="005828AB">
        <w:rPr>
          <w:shd w:val="clear" w:color="auto" w:fill="FFFFFF"/>
        </w:rPr>
        <w:t xml:space="preserve">, </w:t>
      </w:r>
      <w:r w:rsidR="00AE44AC">
        <w:rPr>
          <w:shd w:val="clear" w:color="auto" w:fill="FFFFFF"/>
        </w:rPr>
        <w:t>28</w:t>
      </w:r>
      <w:r w:rsidR="005828AB" w:rsidRPr="005828AB">
        <w:rPr>
          <w:shd w:val="clear" w:color="auto" w:fill="FFFFFF"/>
        </w:rPr>
        <w:t>)</w:t>
      </w:r>
      <w:r w:rsidR="005828AB" w:rsidRPr="00FE7FD6">
        <w:rPr>
          <w:i/>
          <w:shd w:val="clear" w:color="auto" w:fill="FFFFFF"/>
        </w:rPr>
        <w:t>=</w:t>
      </w:r>
      <w:r w:rsidR="00AE44AC" w:rsidRPr="00AE44AC">
        <w:t xml:space="preserve"> </w:t>
      </w:r>
      <w:r w:rsidR="00AE44AC" w:rsidRPr="00AE44AC">
        <w:rPr>
          <w:shd w:val="clear" w:color="auto" w:fill="FFFFFF"/>
        </w:rPr>
        <w:t>3.241</w:t>
      </w:r>
      <w:r w:rsidR="005828AB" w:rsidRPr="005828AB">
        <w:rPr>
          <w:shd w:val="clear" w:color="auto" w:fill="FFFFFF"/>
        </w:rPr>
        <w:t xml:space="preserve">, </w:t>
      </w:r>
      <w:r w:rsidR="005828AB" w:rsidRPr="00FE7FD6">
        <w:rPr>
          <w:i/>
          <w:shd w:val="clear" w:color="auto" w:fill="FFFFFF"/>
        </w:rPr>
        <w:t>P=</w:t>
      </w:r>
      <w:r w:rsidR="00AE44AC" w:rsidRPr="00AE44AC">
        <w:rPr>
          <w:shd w:val="clear" w:color="auto" w:fill="FFFFFF"/>
        </w:rPr>
        <w:t>0.08261</w:t>
      </w:r>
      <w:r w:rsidR="005828AB" w:rsidRPr="005828AB">
        <w:rPr>
          <w:shd w:val="clear" w:color="auto" w:fill="FFFFFF"/>
        </w:rPr>
        <w:t xml:space="preserve">). This </w:t>
      </w:r>
      <w:r w:rsidR="00AE44AC">
        <w:rPr>
          <w:shd w:val="clear" w:color="auto" w:fill="FFFFFF"/>
        </w:rPr>
        <w:t xml:space="preserve">may </w:t>
      </w:r>
      <w:r w:rsidR="005828AB" w:rsidRPr="005828AB">
        <w:rPr>
          <w:shd w:val="clear" w:color="auto" w:fill="FFFFFF"/>
        </w:rPr>
        <w:t>suggest that there is no clear</w:t>
      </w:r>
      <w:r w:rsidR="005828AB">
        <w:rPr>
          <w:shd w:val="clear" w:color="auto" w:fill="FFFFFF"/>
        </w:rPr>
        <w:t xml:space="preserve"> </w:t>
      </w:r>
      <w:r w:rsidR="005828AB" w:rsidRPr="005828AB">
        <w:rPr>
          <w:shd w:val="clear" w:color="auto" w:fill="FFFFFF"/>
        </w:rPr>
        <w:t>selective pressure over these putative genes.</w:t>
      </w:r>
    </w:p>
    <w:p w14:paraId="0529A2C5" w14:textId="77777777" w:rsidR="009037F7" w:rsidRDefault="009037F7" w:rsidP="009037F7">
      <w:pPr>
        <w:pStyle w:val="Heading1"/>
      </w:pPr>
      <w:r>
        <w:t>Dataset 3 Results Report</w:t>
      </w:r>
    </w:p>
    <w:p w14:paraId="7D413176" w14:textId="7A19F80A" w:rsidR="0037630A" w:rsidRDefault="009037F7" w:rsidP="009037F7">
      <w:r>
        <w:t>CNS samples (spinal cord and brain) were collected from an HIV-positive patient over the course of 40 weeks in order to address the impact of CD4-positive T-cell permeability, tissue, viral diversity and evolutionary distance on the viral load</w:t>
      </w:r>
      <w:r w:rsidR="00AB321A">
        <w:t xml:space="preserve"> (figure 2)</w:t>
      </w:r>
      <w:r>
        <w:t>. We found that</w:t>
      </w:r>
      <w:r w:rsidR="004A44C3">
        <w:t xml:space="preserve"> the distance from the reference sample (distance) and the viral diversity (</w:t>
      </w:r>
      <w:proofErr w:type="spellStart"/>
      <w:r w:rsidR="004A44C3">
        <w:t>shannon</w:t>
      </w:r>
      <w:proofErr w:type="spellEnd"/>
      <w:r w:rsidR="004A44C3">
        <w:t>) scores' impact on viral load depend on</w:t>
      </w:r>
      <w:r>
        <w:t xml:space="preserve"> </w:t>
      </w:r>
      <w:r w:rsidR="004A44C3">
        <w:t>both the tissue and CD4 level</w:t>
      </w:r>
      <w:r w:rsidR="00606749">
        <w:t xml:space="preserve"> (</w:t>
      </w:r>
      <w:r w:rsidR="00933CFB">
        <w:rPr>
          <w:i/>
          <w:shd w:val="clear" w:color="auto" w:fill="FFFFFF"/>
        </w:rPr>
        <w:t>AIC=</w:t>
      </w:r>
      <w:r w:rsidR="00933CFB">
        <w:rPr>
          <w:shd w:val="clear" w:color="auto" w:fill="FFFFFF"/>
        </w:rPr>
        <w:t>33.359</w:t>
      </w:r>
      <w:r w:rsidR="00606749">
        <w:t>)</w:t>
      </w:r>
      <w:r w:rsidR="00C74C6B">
        <w:t xml:space="preserve"> (equation 1 and table 1)</w:t>
      </w:r>
      <w:r>
        <w:t>.</w:t>
      </w:r>
    </w:p>
    <w:p w14:paraId="107D2A1E" w14:textId="1CD47350" w:rsidR="00AB321A" w:rsidRDefault="00AB321A" w:rsidP="00AB321A">
      <w:pPr>
        <w:jc w:val="center"/>
      </w:pPr>
      <w:r>
        <w:rPr>
          <w:rFonts w:ascii="Helvetica" w:hAnsi="Helvetica" w:cs="Helvetica"/>
          <w:noProof/>
          <w:sz w:val="24"/>
          <w:szCs w:val="24"/>
          <w:lang w:val="en-US"/>
        </w:rPr>
        <w:drawing>
          <wp:inline distT="0" distB="0" distL="0" distR="0" wp14:anchorId="7786E95A" wp14:editId="2E72E668">
            <wp:extent cx="3314700" cy="204578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622" cy="2046358"/>
                    </a:xfrm>
                    <a:prstGeom prst="rect">
                      <a:avLst/>
                    </a:prstGeom>
                    <a:noFill/>
                    <a:ln>
                      <a:noFill/>
                    </a:ln>
                  </pic:spPr>
                </pic:pic>
              </a:graphicData>
            </a:graphic>
          </wp:inline>
        </w:drawing>
      </w:r>
    </w:p>
    <w:p w14:paraId="4AC08D2A" w14:textId="6990EF78" w:rsidR="00AB321A" w:rsidRDefault="00AB321A" w:rsidP="00AB321A">
      <w:pPr>
        <w:jc w:val="center"/>
      </w:pPr>
      <w:r w:rsidRPr="00AB321A">
        <w:rPr>
          <w:b/>
        </w:rPr>
        <w:t>Figure 2.</w:t>
      </w:r>
      <w:r>
        <w:t xml:space="preserve"> The effect of CD level (A), tissue (B), viral population diversity (C) and evolutionary distance to reference strain (D) on viral load.</w:t>
      </w:r>
    </w:p>
    <w:p w14:paraId="75E4BAB5" w14:textId="3920E2A4" w:rsidR="004A44C3" w:rsidRDefault="004A44C3" w:rsidP="004E37B7">
      <w:pPr>
        <w:jc w:val="center"/>
      </w:pPr>
      <m:oMath>
        <m:r>
          <w:rPr>
            <w:rFonts w:ascii="Cambria Math" w:hAnsi="Cambria Math"/>
          </w:rPr>
          <m:t>viral load = a + b * distance + c * diversity + errors</m:t>
        </m:r>
      </m:oMath>
      <w:r w:rsidR="004E37B7">
        <w:tab/>
      </w:r>
      <w:r w:rsidR="004E37B7">
        <w:tab/>
      </w:r>
      <w:bookmarkStart w:id="0" w:name="_GoBack"/>
      <w:r w:rsidRPr="004319CB">
        <w:rPr>
          <w:b/>
        </w:rPr>
        <w:t>(</w:t>
      </w:r>
      <w:proofErr w:type="gramStart"/>
      <w:r w:rsidRPr="004319CB">
        <w:rPr>
          <w:b/>
        </w:rPr>
        <w:t>equation</w:t>
      </w:r>
      <w:proofErr w:type="gramEnd"/>
      <w:r w:rsidRPr="004319CB">
        <w:rPr>
          <w:b/>
        </w:rPr>
        <w:t xml:space="preserve"> 1)</w:t>
      </w:r>
      <w:bookmarkEnd w:id="0"/>
    </w:p>
    <w:p w14:paraId="1DCE9DCA" w14:textId="73350917" w:rsidR="004A44C3" w:rsidRDefault="004A44C3" w:rsidP="009037F7">
      <w:r w:rsidRPr="004A44C3">
        <w:rPr>
          <w:b/>
        </w:rPr>
        <w:t>Table 1.</w:t>
      </w:r>
      <w:r>
        <w:t xml:space="preserve"> </w:t>
      </w:r>
      <w:proofErr w:type="gramStart"/>
      <w:r>
        <w:t>Coefficients for model (equation 1) expressing viral load in terms of evolutionary distance to the reference strain and viral diversity (Shannon score) depending on tissue and CD4 level.</w:t>
      </w:r>
      <w:proofErr w:type="gramEnd"/>
      <w:r w:rsidR="008558FF">
        <w:t xml:space="preserve"> </w:t>
      </w:r>
      <w:proofErr w:type="gramStart"/>
      <w:r w:rsidR="008558FF">
        <w:t>p</w:t>
      </w:r>
      <w:proofErr w:type="gramEnd"/>
      <w:r w:rsidR="008558FF">
        <w:t>-values: ** 0.001-0.01, * 0.01-0.05, . 0.05-0.1.</w:t>
      </w:r>
    </w:p>
    <w:tbl>
      <w:tblPr>
        <w:tblStyle w:val="TableGrid"/>
        <w:tblW w:w="0" w:type="auto"/>
        <w:jc w:val="center"/>
        <w:tblLook w:val="04A0" w:firstRow="1" w:lastRow="0" w:firstColumn="1" w:lastColumn="0" w:noHBand="0" w:noVBand="1"/>
      </w:tblPr>
      <w:tblGrid>
        <w:gridCol w:w="1067"/>
        <w:gridCol w:w="1056"/>
        <w:gridCol w:w="897"/>
        <w:gridCol w:w="1098"/>
      </w:tblGrid>
      <w:tr w:rsidR="00C74C6B" w14:paraId="09829722" w14:textId="77777777" w:rsidTr="00CB10A4">
        <w:trPr>
          <w:jc w:val="center"/>
        </w:trPr>
        <w:tc>
          <w:tcPr>
            <w:tcW w:w="0" w:type="auto"/>
            <w:vMerge w:val="restart"/>
            <w:vAlign w:val="center"/>
          </w:tcPr>
          <w:p w14:paraId="62EC7E42" w14:textId="67BFCAE9" w:rsidR="00C74C6B" w:rsidRDefault="00C74C6B" w:rsidP="00C74C6B">
            <w:pPr>
              <w:jc w:val="center"/>
            </w:pPr>
            <w:r w:rsidRPr="00C74C6B">
              <w:rPr>
                <w:b/>
              </w:rPr>
              <w:lastRenderedPageBreak/>
              <w:t>CD4 level</w:t>
            </w:r>
          </w:p>
        </w:tc>
        <w:tc>
          <w:tcPr>
            <w:tcW w:w="0" w:type="auto"/>
            <w:vAlign w:val="center"/>
          </w:tcPr>
          <w:p w14:paraId="25B4A0D1" w14:textId="13E8D338" w:rsidR="00C74C6B" w:rsidRPr="00C74C6B" w:rsidRDefault="004E37B7" w:rsidP="00C74C6B">
            <w:pPr>
              <w:jc w:val="center"/>
              <w:rPr>
                <w:b/>
              </w:rPr>
            </w:pPr>
            <w:proofErr w:type="gramStart"/>
            <w:r>
              <w:rPr>
                <w:b/>
              </w:rPr>
              <w:t>a</w:t>
            </w:r>
            <w:proofErr w:type="gramEnd"/>
          </w:p>
        </w:tc>
        <w:tc>
          <w:tcPr>
            <w:tcW w:w="0" w:type="auto"/>
            <w:vAlign w:val="center"/>
          </w:tcPr>
          <w:p w14:paraId="1D8A288D" w14:textId="06446AEC" w:rsidR="00C74C6B" w:rsidRPr="00C74C6B" w:rsidRDefault="004E37B7" w:rsidP="00C74C6B">
            <w:pPr>
              <w:jc w:val="center"/>
              <w:rPr>
                <w:b/>
              </w:rPr>
            </w:pPr>
            <w:proofErr w:type="gramStart"/>
            <w:r>
              <w:rPr>
                <w:b/>
              </w:rPr>
              <w:t>b</w:t>
            </w:r>
            <w:proofErr w:type="gramEnd"/>
          </w:p>
        </w:tc>
        <w:tc>
          <w:tcPr>
            <w:tcW w:w="0" w:type="auto"/>
            <w:vAlign w:val="center"/>
          </w:tcPr>
          <w:p w14:paraId="58426CA8" w14:textId="20E23D9D" w:rsidR="00C74C6B" w:rsidRPr="00C74C6B" w:rsidRDefault="004E37B7" w:rsidP="00C74C6B">
            <w:pPr>
              <w:jc w:val="center"/>
              <w:rPr>
                <w:b/>
              </w:rPr>
            </w:pPr>
            <w:proofErr w:type="gramStart"/>
            <w:r>
              <w:rPr>
                <w:b/>
              </w:rPr>
              <w:t>c</w:t>
            </w:r>
            <w:proofErr w:type="gramEnd"/>
          </w:p>
        </w:tc>
      </w:tr>
      <w:tr w:rsidR="00C74C6B" w14:paraId="1A84578D" w14:textId="77777777" w:rsidTr="00CB10A4">
        <w:trPr>
          <w:jc w:val="center"/>
        </w:trPr>
        <w:tc>
          <w:tcPr>
            <w:tcW w:w="0" w:type="auto"/>
            <w:vMerge/>
            <w:vAlign w:val="center"/>
          </w:tcPr>
          <w:p w14:paraId="71EC9E48" w14:textId="165F795E" w:rsidR="00C74C6B" w:rsidRPr="00C74C6B" w:rsidRDefault="00C74C6B" w:rsidP="00C74C6B">
            <w:pPr>
              <w:jc w:val="center"/>
              <w:rPr>
                <w:b/>
              </w:rPr>
            </w:pPr>
          </w:p>
        </w:tc>
        <w:tc>
          <w:tcPr>
            <w:tcW w:w="0" w:type="auto"/>
            <w:gridSpan w:val="3"/>
            <w:vAlign w:val="center"/>
          </w:tcPr>
          <w:p w14:paraId="6AE266A0" w14:textId="5DA774EE" w:rsidR="00C74C6B" w:rsidRPr="00C74C6B" w:rsidRDefault="00C74C6B" w:rsidP="00C74C6B">
            <w:pPr>
              <w:jc w:val="center"/>
              <w:rPr>
                <w:u w:val="single"/>
              </w:rPr>
            </w:pPr>
            <w:r w:rsidRPr="00C74C6B">
              <w:rPr>
                <w:u w:val="single"/>
              </w:rPr>
              <w:t>Spinal cord</w:t>
            </w:r>
          </w:p>
        </w:tc>
      </w:tr>
      <w:tr w:rsidR="00C74C6B" w14:paraId="5EF10DC3" w14:textId="77777777" w:rsidTr="00CB10A4">
        <w:trPr>
          <w:jc w:val="center"/>
        </w:trPr>
        <w:tc>
          <w:tcPr>
            <w:tcW w:w="0" w:type="auto"/>
            <w:vAlign w:val="center"/>
          </w:tcPr>
          <w:p w14:paraId="621F8D4B" w14:textId="61D30532" w:rsidR="00C74C6B" w:rsidRDefault="007B6BB5" w:rsidP="00C74C6B">
            <w:pPr>
              <w:jc w:val="right"/>
            </w:pPr>
            <w:proofErr w:type="gramStart"/>
            <w:r>
              <w:t>low</w:t>
            </w:r>
            <w:proofErr w:type="gramEnd"/>
          </w:p>
        </w:tc>
        <w:tc>
          <w:tcPr>
            <w:tcW w:w="0" w:type="auto"/>
            <w:vAlign w:val="center"/>
          </w:tcPr>
          <w:p w14:paraId="6F7C649D" w14:textId="753FD887" w:rsidR="00C74C6B" w:rsidRDefault="007B6BB5" w:rsidP="00C74C6B">
            <w:pPr>
              <w:jc w:val="center"/>
            </w:pPr>
            <w:r>
              <w:t>0.7471</w:t>
            </w:r>
          </w:p>
        </w:tc>
        <w:tc>
          <w:tcPr>
            <w:tcW w:w="0" w:type="auto"/>
            <w:vMerge w:val="restart"/>
            <w:vAlign w:val="center"/>
          </w:tcPr>
          <w:p w14:paraId="122CCA3B" w14:textId="5A190114" w:rsidR="00C74C6B" w:rsidRDefault="00C74C6B" w:rsidP="00C74C6B">
            <w:pPr>
              <w:jc w:val="center"/>
            </w:pPr>
            <w:r>
              <w:t>-1.6148</w:t>
            </w:r>
          </w:p>
        </w:tc>
        <w:tc>
          <w:tcPr>
            <w:tcW w:w="0" w:type="auto"/>
            <w:vAlign w:val="center"/>
          </w:tcPr>
          <w:p w14:paraId="5B570230" w14:textId="3636A548" w:rsidR="00C74C6B" w:rsidRDefault="007B6BB5" w:rsidP="007B6BB5">
            <w:pPr>
              <w:jc w:val="center"/>
            </w:pPr>
            <w:r>
              <w:t xml:space="preserve">-0.6946 </w:t>
            </w:r>
            <w:r w:rsidR="008558FF">
              <w:t>*</w:t>
            </w:r>
          </w:p>
        </w:tc>
      </w:tr>
      <w:tr w:rsidR="00C74C6B" w14:paraId="2F371D53" w14:textId="77777777" w:rsidTr="00CB10A4">
        <w:trPr>
          <w:jc w:val="center"/>
        </w:trPr>
        <w:tc>
          <w:tcPr>
            <w:tcW w:w="0" w:type="auto"/>
            <w:vAlign w:val="center"/>
          </w:tcPr>
          <w:p w14:paraId="60A9DDBC" w14:textId="0977BCE3" w:rsidR="00C74C6B" w:rsidRDefault="007B6BB5" w:rsidP="00C74C6B">
            <w:pPr>
              <w:jc w:val="right"/>
            </w:pPr>
            <w:proofErr w:type="gramStart"/>
            <w:r>
              <w:t>high</w:t>
            </w:r>
            <w:proofErr w:type="gramEnd"/>
          </w:p>
        </w:tc>
        <w:tc>
          <w:tcPr>
            <w:tcW w:w="0" w:type="auto"/>
            <w:vAlign w:val="center"/>
          </w:tcPr>
          <w:p w14:paraId="6FAC64B6" w14:textId="3A8C975C" w:rsidR="00C74C6B" w:rsidRDefault="007B6BB5" w:rsidP="007B6BB5">
            <w:pPr>
              <w:jc w:val="center"/>
            </w:pPr>
            <w:r>
              <w:t>-</w:t>
            </w:r>
            <w:proofErr w:type="gramStart"/>
            <w:r>
              <w:t xml:space="preserve">1.2977 </w:t>
            </w:r>
            <w:r w:rsidR="005C6D40">
              <w:t>.</w:t>
            </w:r>
            <w:proofErr w:type="gramEnd"/>
          </w:p>
        </w:tc>
        <w:tc>
          <w:tcPr>
            <w:tcW w:w="0" w:type="auto"/>
            <w:vMerge/>
            <w:vAlign w:val="center"/>
          </w:tcPr>
          <w:p w14:paraId="43A09E24" w14:textId="4E7E312E" w:rsidR="00C74C6B" w:rsidRDefault="00C74C6B" w:rsidP="00C74C6B">
            <w:pPr>
              <w:jc w:val="center"/>
            </w:pPr>
          </w:p>
        </w:tc>
        <w:tc>
          <w:tcPr>
            <w:tcW w:w="0" w:type="auto"/>
            <w:vAlign w:val="center"/>
          </w:tcPr>
          <w:p w14:paraId="03DFA705" w14:textId="696F9717" w:rsidR="00C74C6B" w:rsidRDefault="007B6BB5" w:rsidP="007B6BB5">
            <w:pPr>
              <w:jc w:val="center"/>
            </w:pPr>
            <w:r>
              <w:t xml:space="preserve">0.3061 </w:t>
            </w:r>
            <w:r w:rsidR="008558FF">
              <w:t>**</w:t>
            </w:r>
          </w:p>
        </w:tc>
      </w:tr>
      <w:tr w:rsidR="00C74C6B" w14:paraId="090036C3" w14:textId="77777777" w:rsidTr="00CB10A4">
        <w:trPr>
          <w:jc w:val="center"/>
        </w:trPr>
        <w:tc>
          <w:tcPr>
            <w:tcW w:w="0" w:type="auto"/>
            <w:vAlign w:val="center"/>
          </w:tcPr>
          <w:p w14:paraId="706CD1DD" w14:textId="45F54358" w:rsidR="00C74C6B" w:rsidRDefault="00C74C6B" w:rsidP="00C74C6B">
            <w:pPr>
              <w:jc w:val="right"/>
            </w:pPr>
          </w:p>
        </w:tc>
        <w:tc>
          <w:tcPr>
            <w:tcW w:w="0" w:type="auto"/>
            <w:gridSpan w:val="3"/>
            <w:vAlign w:val="center"/>
          </w:tcPr>
          <w:p w14:paraId="2B07F764" w14:textId="271B2C23" w:rsidR="00C74C6B" w:rsidRPr="00C74C6B" w:rsidRDefault="00C74C6B" w:rsidP="00C74C6B">
            <w:pPr>
              <w:jc w:val="center"/>
              <w:rPr>
                <w:u w:val="single"/>
              </w:rPr>
            </w:pPr>
            <w:r w:rsidRPr="00C74C6B">
              <w:rPr>
                <w:u w:val="single"/>
              </w:rPr>
              <w:t>Brain</w:t>
            </w:r>
          </w:p>
        </w:tc>
      </w:tr>
      <w:tr w:rsidR="00C74C6B" w14:paraId="031B7CA1" w14:textId="77777777" w:rsidTr="00CB10A4">
        <w:trPr>
          <w:jc w:val="center"/>
        </w:trPr>
        <w:tc>
          <w:tcPr>
            <w:tcW w:w="0" w:type="auto"/>
            <w:vAlign w:val="center"/>
          </w:tcPr>
          <w:p w14:paraId="7D74EDB3" w14:textId="40F95207" w:rsidR="00C74C6B" w:rsidRDefault="007B6BB5" w:rsidP="00C74C6B">
            <w:pPr>
              <w:jc w:val="right"/>
            </w:pPr>
            <w:proofErr w:type="gramStart"/>
            <w:r>
              <w:t>low</w:t>
            </w:r>
            <w:proofErr w:type="gramEnd"/>
          </w:p>
        </w:tc>
        <w:tc>
          <w:tcPr>
            <w:tcW w:w="0" w:type="auto"/>
            <w:vAlign w:val="center"/>
          </w:tcPr>
          <w:p w14:paraId="09CFE231" w14:textId="3E9788AD" w:rsidR="00C74C6B" w:rsidRDefault="007B6BB5" w:rsidP="00C74C6B">
            <w:pPr>
              <w:jc w:val="center"/>
            </w:pPr>
            <w:r>
              <w:t xml:space="preserve">-1.2579 </w:t>
            </w:r>
            <w:r w:rsidR="005C6D40">
              <w:t>*</w:t>
            </w:r>
          </w:p>
        </w:tc>
        <w:tc>
          <w:tcPr>
            <w:tcW w:w="0" w:type="auto"/>
            <w:vMerge w:val="restart"/>
            <w:vAlign w:val="center"/>
          </w:tcPr>
          <w:p w14:paraId="07253684" w14:textId="45E50084" w:rsidR="00C74C6B" w:rsidRDefault="00C74C6B" w:rsidP="00C74C6B">
            <w:pPr>
              <w:jc w:val="center"/>
            </w:pPr>
            <w:r>
              <w:t>-0.6635</w:t>
            </w:r>
          </w:p>
        </w:tc>
        <w:tc>
          <w:tcPr>
            <w:tcW w:w="0" w:type="auto"/>
            <w:vAlign w:val="center"/>
          </w:tcPr>
          <w:p w14:paraId="39A908B8" w14:textId="790448AF" w:rsidR="00C74C6B" w:rsidRDefault="007B6BB5" w:rsidP="007B6BB5">
            <w:pPr>
              <w:jc w:val="center"/>
            </w:pPr>
            <w:r>
              <w:t xml:space="preserve">0.0302 </w:t>
            </w:r>
            <w:r w:rsidR="005C6D40">
              <w:t>**</w:t>
            </w:r>
          </w:p>
        </w:tc>
      </w:tr>
      <w:tr w:rsidR="00C74C6B" w14:paraId="6FBA5FE1" w14:textId="77777777" w:rsidTr="00CB10A4">
        <w:trPr>
          <w:jc w:val="center"/>
        </w:trPr>
        <w:tc>
          <w:tcPr>
            <w:tcW w:w="0" w:type="auto"/>
            <w:vAlign w:val="center"/>
          </w:tcPr>
          <w:p w14:paraId="43AE93F0" w14:textId="34CA7664" w:rsidR="00C74C6B" w:rsidRDefault="007B6BB5" w:rsidP="00C74C6B">
            <w:pPr>
              <w:jc w:val="right"/>
            </w:pPr>
            <w:proofErr w:type="gramStart"/>
            <w:r>
              <w:t>high</w:t>
            </w:r>
            <w:proofErr w:type="gramEnd"/>
          </w:p>
        </w:tc>
        <w:tc>
          <w:tcPr>
            <w:tcW w:w="0" w:type="auto"/>
            <w:vAlign w:val="center"/>
          </w:tcPr>
          <w:p w14:paraId="1B6E37BB" w14:textId="56633009" w:rsidR="00C74C6B" w:rsidRDefault="007B6BB5" w:rsidP="007B6BB5">
            <w:pPr>
              <w:jc w:val="center"/>
            </w:pPr>
            <w:r>
              <w:t>-3.3027</w:t>
            </w:r>
          </w:p>
        </w:tc>
        <w:tc>
          <w:tcPr>
            <w:tcW w:w="0" w:type="auto"/>
            <w:vMerge/>
            <w:vAlign w:val="center"/>
          </w:tcPr>
          <w:p w14:paraId="6E5CB6BB" w14:textId="3DBED12E" w:rsidR="00C74C6B" w:rsidRDefault="00C74C6B" w:rsidP="00C74C6B">
            <w:pPr>
              <w:jc w:val="center"/>
            </w:pPr>
          </w:p>
        </w:tc>
        <w:tc>
          <w:tcPr>
            <w:tcW w:w="0" w:type="auto"/>
            <w:vAlign w:val="center"/>
          </w:tcPr>
          <w:p w14:paraId="75DB0DCE" w14:textId="34656107" w:rsidR="00C74C6B" w:rsidRDefault="007B6BB5" w:rsidP="007B6BB5">
            <w:pPr>
              <w:jc w:val="center"/>
            </w:pPr>
            <w:r>
              <w:t xml:space="preserve">1.0309 </w:t>
            </w:r>
            <w:r w:rsidR="005C6D40">
              <w:t>**</w:t>
            </w:r>
          </w:p>
        </w:tc>
      </w:tr>
    </w:tbl>
    <w:p w14:paraId="77282DB0" w14:textId="06D32B56" w:rsidR="00C74C6B" w:rsidRDefault="00CB10A4" w:rsidP="009037F7">
      <w:r>
        <w:t xml:space="preserve">We find that </w:t>
      </w:r>
      <w:r w:rsidRPr="00CB10A4">
        <w:t xml:space="preserve">the viral load is negatively correlated with the distance, </w:t>
      </w:r>
      <w:r>
        <w:t xml:space="preserve">perhaps </w:t>
      </w:r>
      <w:r w:rsidRPr="00CB10A4">
        <w:t>suggesting a fitness loss associated with the evolutionary pressure</w:t>
      </w:r>
      <w:r>
        <w:t xml:space="preserve"> of replicating within the host. This effect is larger in the spinal cord than in the brain. In contrast, viral load is, in most contexts, positively correlated with the viral diversity observed. This could be a consequence of highly diverse viral populations being more likely to </w:t>
      </w:r>
      <w:r w:rsidR="00475A59">
        <w:t xml:space="preserve">adapt to the host and </w:t>
      </w:r>
      <w:r>
        <w:t xml:space="preserve">evade the immune system. </w:t>
      </w:r>
      <w:r w:rsidR="00475A59">
        <w:t xml:space="preserve">This effect is accentuated when CD4 levels are high, possibly due to a higher evolutionary pressure. </w:t>
      </w:r>
      <w:r>
        <w:t>The only circumstance in which a negative correlation is observed between diversity and viral load is in spinal cord samples with low levels of CD4-positive T-cells (table 1).</w:t>
      </w:r>
      <w:r w:rsidR="00407957">
        <w:t xml:space="preserve"> A correlation between HIV viral load and CD4 levels has previously been described </w:t>
      </w:r>
      <w:r w:rsidR="00407957" w:rsidRPr="00407957">
        <w:t>(</w:t>
      </w:r>
      <w:proofErr w:type="spellStart"/>
      <w:r w:rsidR="00407957" w:rsidRPr="00407957">
        <w:t>Srinivasula</w:t>
      </w:r>
      <w:proofErr w:type="spellEnd"/>
      <w:r w:rsidR="00407957" w:rsidRPr="00407957">
        <w:t xml:space="preserve"> et al., 2011)</w:t>
      </w:r>
      <w:r w:rsidR="00407957">
        <w:t>.</w:t>
      </w:r>
    </w:p>
    <w:p w14:paraId="768540CE" w14:textId="71141166" w:rsidR="00407957" w:rsidRDefault="00407957" w:rsidP="00407957">
      <w:pPr>
        <w:pStyle w:val="Heading2"/>
      </w:pPr>
      <w:r>
        <w:t>References</w:t>
      </w:r>
    </w:p>
    <w:p w14:paraId="0D7054AE" w14:textId="77777777" w:rsidR="00407957" w:rsidRPr="00407957" w:rsidRDefault="00407957" w:rsidP="00407957">
      <w:pPr>
        <w:rPr>
          <w:rFonts w:ascii="Times New Roman" w:hAnsi="Times New Roman" w:cs="Times New Roman"/>
        </w:rPr>
      </w:pPr>
      <w:r w:rsidRPr="00407957">
        <w:rPr>
          <w:caps/>
          <w:shd w:val="clear" w:color="auto" w:fill="FFFFFF"/>
        </w:rPr>
        <w:t xml:space="preserve">Srinivasula, S., Lempicki, R., Adelsberger, J., Huang, C., Roark, J., Lee, P., Rupert, A., Stevens, R., Sereti, I., Lane, H., Di Mascio, M. and Kovacs, J. </w:t>
      </w:r>
      <w:r w:rsidRPr="00407957">
        <w:rPr>
          <w:shd w:val="clear" w:color="auto" w:fill="FFFFFF"/>
        </w:rPr>
        <w:t>(2011). Differential effects of HIV viral load and CD4 count on proliferation of naive and memory CD4 and CD8 T lymphocytes. </w:t>
      </w:r>
      <w:proofErr w:type="gramStart"/>
      <w:r w:rsidRPr="00407957">
        <w:rPr>
          <w:i/>
          <w:iCs/>
          <w:shd w:val="clear" w:color="auto" w:fill="FFFFFF"/>
        </w:rPr>
        <w:t>Blood</w:t>
      </w:r>
      <w:r w:rsidRPr="00407957">
        <w:rPr>
          <w:shd w:val="clear" w:color="auto" w:fill="FFFFFF"/>
        </w:rPr>
        <w:t>, 118(2), pp.262-270.</w:t>
      </w:r>
      <w:proofErr w:type="gramEnd"/>
    </w:p>
    <w:p w14:paraId="4FF03282" w14:textId="50FB1B36" w:rsidR="00407957" w:rsidRDefault="00407957" w:rsidP="00407957">
      <w:pPr>
        <w:pStyle w:val="NormalWeb"/>
        <w:spacing w:before="0" w:beforeAutospacing="0" w:after="0" w:afterAutospacing="0" w:line="360" w:lineRule="atLeast"/>
        <w:ind w:hanging="120"/>
        <w:rPr>
          <w:rFonts w:ascii="Arial" w:hAnsi="Arial" w:cs="Arial"/>
          <w:color w:val="666666"/>
        </w:rPr>
      </w:pPr>
      <w:r>
        <w:rPr>
          <w:rStyle w:val="Strong"/>
          <w:rFonts w:ascii="Arial" w:eastAsiaTheme="majorEastAsia" w:hAnsi="Arial" w:cs="Arial"/>
          <w:color w:val="666666"/>
        </w:rPr>
        <w:t> </w:t>
      </w:r>
    </w:p>
    <w:p w14:paraId="29EC6BEB" w14:textId="77777777" w:rsidR="00407957" w:rsidRPr="00407957" w:rsidRDefault="00407957" w:rsidP="00407957"/>
    <w:sectPr w:rsidR="00407957" w:rsidRPr="00407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E6DA3"/>
    <w:multiLevelType w:val="multilevel"/>
    <w:tmpl w:val="BBE0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arr0tziprpw0e9spfv5dxn9parpvstwadd&quot;&gt;Ana&lt;record-ids&gt;&lt;item&gt;606&lt;/item&gt;&lt;item&gt;607&lt;/item&gt;&lt;item&gt;608&lt;/item&gt;&lt;item&gt;609&lt;/item&gt;&lt;/record-ids&gt;&lt;/item&gt;&lt;/Libraries&gt;"/>
  </w:docVars>
  <w:rsids>
    <w:rsidRoot w:val="0037630A"/>
    <w:rsid w:val="00055E2D"/>
    <w:rsid w:val="0008735F"/>
    <w:rsid w:val="000954C6"/>
    <w:rsid w:val="000F753F"/>
    <w:rsid w:val="001136C2"/>
    <w:rsid w:val="001B205B"/>
    <w:rsid w:val="001E073E"/>
    <w:rsid w:val="0037630A"/>
    <w:rsid w:val="0038144F"/>
    <w:rsid w:val="003E7F02"/>
    <w:rsid w:val="00407957"/>
    <w:rsid w:val="004319CB"/>
    <w:rsid w:val="0043239C"/>
    <w:rsid w:val="00475A59"/>
    <w:rsid w:val="0048554B"/>
    <w:rsid w:val="004A44C3"/>
    <w:rsid w:val="004E37B7"/>
    <w:rsid w:val="005828AB"/>
    <w:rsid w:val="005C6D40"/>
    <w:rsid w:val="006053DB"/>
    <w:rsid w:val="00606749"/>
    <w:rsid w:val="007B6BB5"/>
    <w:rsid w:val="008257CC"/>
    <w:rsid w:val="008558FF"/>
    <w:rsid w:val="009037F7"/>
    <w:rsid w:val="00933CFB"/>
    <w:rsid w:val="00970FEF"/>
    <w:rsid w:val="009873C4"/>
    <w:rsid w:val="00A24823"/>
    <w:rsid w:val="00A87380"/>
    <w:rsid w:val="00AB321A"/>
    <w:rsid w:val="00AB7A0D"/>
    <w:rsid w:val="00AE44AC"/>
    <w:rsid w:val="00B561DC"/>
    <w:rsid w:val="00B7707E"/>
    <w:rsid w:val="00B9335F"/>
    <w:rsid w:val="00C74C6B"/>
    <w:rsid w:val="00CB10A4"/>
    <w:rsid w:val="00D0701B"/>
    <w:rsid w:val="00DD3166"/>
    <w:rsid w:val="00E04292"/>
    <w:rsid w:val="00E844DF"/>
    <w:rsid w:val="00EC47FC"/>
    <w:rsid w:val="00FC22A9"/>
    <w:rsid w:val="00FE7F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0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DC"/>
    <w:pPr>
      <w:jc w:val="both"/>
    </w:pPr>
  </w:style>
  <w:style w:type="paragraph" w:styleId="Heading1">
    <w:name w:val="heading 1"/>
    <w:basedOn w:val="Normal"/>
    <w:next w:val="Normal"/>
    <w:link w:val="Heading1Char"/>
    <w:uiPriority w:val="9"/>
    <w:qFormat/>
    <w:rsid w:val="00376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3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79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6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630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7630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63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D31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3166"/>
    <w:rPr>
      <w:b/>
      <w:bCs/>
    </w:rPr>
  </w:style>
  <w:style w:type="character" w:styleId="Emphasis">
    <w:name w:val="Emphasis"/>
    <w:basedOn w:val="DefaultParagraphFont"/>
    <w:uiPriority w:val="20"/>
    <w:qFormat/>
    <w:rsid w:val="00DD3166"/>
    <w:rPr>
      <w:i/>
      <w:iCs/>
    </w:rPr>
  </w:style>
  <w:style w:type="paragraph" w:customStyle="1" w:styleId="EndNoteBibliographyTitle">
    <w:name w:val="EndNote Bibliography Title"/>
    <w:basedOn w:val="Normal"/>
    <w:link w:val="EndNoteBibliographyTitleChar"/>
    <w:rsid w:val="003E7F0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E7F02"/>
    <w:rPr>
      <w:rFonts w:ascii="Calibri" w:hAnsi="Calibri"/>
      <w:noProof/>
      <w:lang w:val="en-US"/>
    </w:rPr>
  </w:style>
  <w:style w:type="paragraph" w:customStyle="1" w:styleId="EndNoteBibliography">
    <w:name w:val="EndNote Bibliography"/>
    <w:basedOn w:val="Normal"/>
    <w:link w:val="EndNoteBibliographyChar"/>
    <w:rsid w:val="003E7F0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3E7F02"/>
    <w:rPr>
      <w:rFonts w:ascii="Calibri" w:hAnsi="Calibri"/>
      <w:noProof/>
      <w:lang w:val="en-US"/>
    </w:rPr>
  </w:style>
  <w:style w:type="paragraph" w:styleId="BalloonText">
    <w:name w:val="Balloon Text"/>
    <w:basedOn w:val="Normal"/>
    <w:link w:val="BalloonTextChar"/>
    <w:uiPriority w:val="99"/>
    <w:semiHidden/>
    <w:unhideWhenUsed/>
    <w:rsid w:val="008257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7CC"/>
    <w:rPr>
      <w:rFonts w:ascii="Lucida Grande" w:hAnsi="Lucida Grande" w:cs="Lucida Grande"/>
      <w:sz w:val="18"/>
      <w:szCs w:val="18"/>
    </w:rPr>
  </w:style>
  <w:style w:type="character" w:styleId="PlaceholderText">
    <w:name w:val="Placeholder Text"/>
    <w:basedOn w:val="DefaultParagraphFont"/>
    <w:uiPriority w:val="99"/>
    <w:semiHidden/>
    <w:rsid w:val="004A44C3"/>
    <w:rPr>
      <w:color w:val="808080"/>
    </w:rPr>
  </w:style>
  <w:style w:type="table" w:styleId="TableGrid">
    <w:name w:val="Table Grid"/>
    <w:basedOn w:val="TableNormal"/>
    <w:uiPriority w:val="59"/>
    <w:rsid w:val="00C74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79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7957"/>
    <w:rPr>
      <w:rFonts w:asciiTheme="majorHAnsi" w:eastAsiaTheme="majorEastAsia" w:hAnsiTheme="majorHAnsi" w:cstheme="majorBidi"/>
      <w:b/>
      <w:bCs/>
      <w:i/>
      <w:iCs/>
      <w:color w:val="4F81BD" w:themeColor="accent1"/>
    </w:rPr>
  </w:style>
  <w:style w:type="character" w:customStyle="1" w:styleId="selectable">
    <w:name w:val="selectable"/>
    <w:basedOn w:val="DefaultParagraphFont"/>
    <w:rsid w:val="004079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DC"/>
    <w:pPr>
      <w:jc w:val="both"/>
    </w:pPr>
  </w:style>
  <w:style w:type="paragraph" w:styleId="Heading1">
    <w:name w:val="heading 1"/>
    <w:basedOn w:val="Normal"/>
    <w:next w:val="Normal"/>
    <w:link w:val="Heading1Char"/>
    <w:uiPriority w:val="9"/>
    <w:qFormat/>
    <w:rsid w:val="003763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3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79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76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7630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7630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763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D31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D3166"/>
    <w:rPr>
      <w:b/>
      <w:bCs/>
    </w:rPr>
  </w:style>
  <w:style w:type="character" w:styleId="Emphasis">
    <w:name w:val="Emphasis"/>
    <w:basedOn w:val="DefaultParagraphFont"/>
    <w:uiPriority w:val="20"/>
    <w:qFormat/>
    <w:rsid w:val="00DD3166"/>
    <w:rPr>
      <w:i/>
      <w:iCs/>
    </w:rPr>
  </w:style>
  <w:style w:type="paragraph" w:customStyle="1" w:styleId="EndNoteBibliographyTitle">
    <w:name w:val="EndNote Bibliography Title"/>
    <w:basedOn w:val="Normal"/>
    <w:link w:val="EndNoteBibliographyTitleChar"/>
    <w:rsid w:val="003E7F02"/>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E7F02"/>
    <w:rPr>
      <w:rFonts w:ascii="Calibri" w:hAnsi="Calibri"/>
      <w:noProof/>
      <w:lang w:val="en-US"/>
    </w:rPr>
  </w:style>
  <w:style w:type="paragraph" w:customStyle="1" w:styleId="EndNoteBibliography">
    <w:name w:val="EndNote Bibliography"/>
    <w:basedOn w:val="Normal"/>
    <w:link w:val="EndNoteBibliographyChar"/>
    <w:rsid w:val="003E7F02"/>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3E7F02"/>
    <w:rPr>
      <w:rFonts w:ascii="Calibri" w:hAnsi="Calibri"/>
      <w:noProof/>
      <w:lang w:val="en-US"/>
    </w:rPr>
  </w:style>
  <w:style w:type="paragraph" w:styleId="BalloonText">
    <w:name w:val="Balloon Text"/>
    <w:basedOn w:val="Normal"/>
    <w:link w:val="BalloonTextChar"/>
    <w:uiPriority w:val="99"/>
    <w:semiHidden/>
    <w:unhideWhenUsed/>
    <w:rsid w:val="008257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7CC"/>
    <w:rPr>
      <w:rFonts w:ascii="Lucida Grande" w:hAnsi="Lucida Grande" w:cs="Lucida Grande"/>
      <w:sz w:val="18"/>
      <w:szCs w:val="18"/>
    </w:rPr>
  </w:style>
  <w:style w:type="character" w:styleId="PlaceholderText">
    <w:name w:val="Placeholder Text"/>
    <w:basedOn w:val="DefaultParagraphFont"/>
    <w:uiPriority w:val="99"/>
    <w:semiHidden/>
    <w:rsid w:val="004A44C3"/>
    <w:rPr>
      <w:color w:val="808080"/>
    </w:rPr>
  </w:style>
  <w:style w:type="table" w:styleId="TableGrid">
    <w:name w:val="Table Grid"/>
    <w:basedOn w:val="TableNormal"/>
    <w:uiPriority w:val="59"/>
    <w:rsid w:val="00C74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079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7957"/>
    <w:rPr>
      <w:rFonts w:asciiTheme="majorHAnsi" w:eastAsiaTheme="majorEastAsia" w:hAnsiTheme="majorHAnsi" w:cstheme="majorBidi"/>
      <w:b/>
      <w:bCs/>
      <w:i/>
      <w:iCs/>
      <w:color w:val="4F81BD" w:themeColor="accent1"/>
    </w:rPr>
  </w:style>
  <w:style w:type="character" w:customStyle="1" w:styleId="selectable">
    <w:name w:val="selectable"/>
    <w:basedOn w:val="DefaultParagraphFont"/>
    <w:rsid w:val="0040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1525">
      <w:bodyDiv w:val="1"/>
      <w:marLeft w:val="0"/>
      <w:marRight w:val="0"/>
      <w:marTop w:val="0"/>
      <w:marBottom w:val="0"/>
      <w:divBdr>
        <w:top w:val="none" w:sz="0" w:space="0" w:color="auto"/>
        <w:left w:val="none" w:sz="0" w:space="0" w:color="auto"/>
        <w:bottom w:val="none" w:sz="0" w:space="0" w:color="auto"/>
        <w:right w:val="none" w:sz="0" w:space="0" w:color="auto"/>
      </w:divBdr>
    </w:div>
    <w:div w:id="379521134">
      <w:bodyDiv w:val="1"/>
      <w:marLeft w:val="0"/>
      <w:marRight w:val="0"/>
      <w:marTop w:val="0"/>
      <w:marBottom w:val="0"/>
      <w:divBdr>
        <w:top w:val="none" w:sz="0" w:space="0" w:color="auto"/>
        <w:left w:val="none" w:sz="0" w:space="0" w:color="auto"/>
        <w:bottom w:val="none" w:sz="0" w:space="0" w:color="auto"/>
        <w:right w:val="none" w:sz="0" w:space="0" w:color="auto"/>
      </w:divBdr>
    </w:div>
    <w:div w:id="403646039">
      <w:bodyDiv w:val="1"/>
      <w:marLeft w:val="0"/>
      <w:marRight w:val="0"/>
      <w:marTop w:val="0"/>
      <w:marBottom w:val="0"/>
      <w:divBdr>
        <w:top w:val="none" w:sz="0" w:space="0" w:color="auto"/>
        <w:left w:val="none" w:sz="0" w:space="0" w:color="auto"/>
        <w:bottom w:val="none" w:sz="0" w:space="0" w:color="auto"/>
        <w:right w:val="none" w:sz="0" w:space="0" w:color="auto"/>
      </w:divBdr>
    </w:div>
    <w:div w:id="427510274">
      <w:bodyDiv w:val="1"/>
      <w:marLeft w:val="0"/>
      <w:marRight w:val="0"/>
      <w:marTop w:val="0"/>
      <w:marBottom w:val="0"/>
      <w:divBdr>
        <w:top w:val="none" w:sz="0" w:space="0" w:color="auto"/>
        <w:left w:val="none" w:sz="0" w:space="0" w:color="auto"/>
        <w:bottom w:val="none" w:sz="0" w:space="0" w:color="auto"/>
        <w:right w:val="none" w:sz="0" w:space="0" w:color="auto"/>
      </w:divBdr>
    </w:div>
    <w:div w:id="465045454">
      <w:bodyDiv w:val="1"/>
      <w:marLeft w:val="0"/>
      <w:marRight w:val="0"/>
      <w:marTop w:val="0"/>
      <w:marBottom w:val="0"/>
      <w:divBdr>
        <w:top w:val="none" w:sz="0" w:space="0" w:color="auto"/>
        <w:left w:val="none" w:sz="0" w:space="0" w:color="auto"/>
        <w:bottom w:val="none" w:sz="0" w:space="0" w:color="auto"/>
        <w:right w:val="none" w:sz="0" w:space="0" w:color="auto"/>
      </w:divBdr>
    </w:div>
    <w:div w:id="787359267">
      <w:bodyDiv w:val="1"/>
      <w:marLeft w:val="0"/>
      <w:marRight w:val="0"/>
      <w:marTop w:val="0"/>
      <w:marBottom w:val="0"/>
      <w:divBdr>
        <w:top w:val="none" w:sz="0" w:space="0" w:color="auto"/>
        <w:left w:val="none" w:sz="0" w:space="0" w:color="auto"/>
        <w:bottom w:val="none" w:sz="0" w:space="0" w:color="auto"/>
        <w:right w:val="none" w:sz="0" w:space="0" w:color="auto"/>
      </w:divBdr>
    </w:div>
    <w:div w:id="877206176">
      <w:bodyDiv w:val="1"/>
      <w:marLeft w:val="0"/>
      <w:marRight w:val="0"/>
      <w:marTop w:val="0"/>
      <w:marBottom w:val="0"/>
      <w:divBdr>
        <w:top w:val="none" w:sz="0" w:space="0" w:color="auto"/>
        <w:left w:val="none" w:sz="0" w:space="0" w:color="auto"/>
        <w:bottom w:val="none" w:sz="0" w:space="0" w:color="auto"/>
        <w:right w:val="none" w:sz="0" w:space="0" w:color="auto"/>
      </w:divBdr>
    </w:div>
    <w:div w:id="933980798">
      <w:bodyDiv w:val="1"/>
      <w:marLeft w:val="0"/>
      <w:marRight w:val="0"/>
      <w:marTop w:val="0"/>
      <w:marBottom w:val="0"/>
      <w:divBdr>
        <w:top w:val="none" w:sz="0" w:space="0" w:color="auto"/>
        <w:left w:val="none" w:sz="0" w:space="0" w:color="auto"/>
        <w:bottom w:val="none" w:sz="0" w:space="0" w:color="auto"/>
        <w:right w:val="none" w:sz="0" w:space="0" w:color="auto"/>
      </w:divBdr>
    </w:div>
    <w:div w:id="1130052858">
      <w:bodyDiv w:val="1"/>
      <w:marLeft w:val="0"/>
      <w:marRight w:val="0"/>
      <w:marTop w:val="0"/>
      <w:marBottom w:val="0"/>
      <w:divBdr>
        <w:top w:val="none" w:sz="0" w:space="0" w:color="auto"/>
        <w:left w:val="none" w:sz="0" w:space="0" w:color="auto"/>
        <w:bottom w:val="none" w:sz="0" w:space="0" w:color="auto"/>
        <w:right w:val="none" w:sz="0" w:space="0" w:color="auto"/>
      </w:divBdr>
    </w:div>
    <w:div w:id="1133644857">
      <w:bodyDiv w:val="1"/>
      <w:marLeft w:val="0"/>
      <w:marRight w:val="0"/>
      <w:marTop w:val="0"/>
      <w:marBottom w:val="0"/>
      <w:divBdr>
        <w:top w:val="none" w:sz="0" w:space="0" w:color="auto"/>
        <w:left w:val="none" w:sz="0" w:space="0" w:color="auto"/>
        <w:bottom w:val="none" w:sz="0" w:space="0" w:color="auto"/>
        <w:right w:val="none" w:sz="0" w:space="0" w:color="auto"/>
      </w:divBdr>
    </w:div>
    <w:div w:id="1453669654">
      <w:bodyDiv w:val="1"/>
      <w:marLeft w:val="0"/>
      <w:marRight w:val="0"/>
      <w:marTop w:val="0"/>
      <w:marBottom w:val="0"/>
      <w:divBdr>
        <w:top w:val="none" w:sz="0" w:space="0" w:color="auto"/>
        <w:left w:val="none" w:sz="0" w:space="0" w:color="auto"/>
        <w:bottom w:val="none" w:sz="0" w:space="0" w:color="auto"/>
        <w:right w:val="none" w:sz="0" w:space="0" w:color="auto"/>
      </w:divBdr>
    </w:div>
    <w:div w:id="1595239869">
      <w:bodyDiv w:val="1"/>
      <w:marLeft w:val="0"/>
      <w:marRight w:val="0"/>
      <w:marTop w:val="0"/>
      <w:marBottom w:val="0"/>
      <w:divBdr>
        <w:top w:val="none" w:sz="0" w:space="0" w:color="auto"/>
        <w:left w:val="none" w:sz="0" w:space="0" w:color="auto"/>
        <w:bottom w:val="none" w:sz="0" w:space="0" w:color="auto"/>
        <w:right w:val="none" w:sz="0" w:space="0" w:color="auto"/>
      </w:divBdr>
    </w:div>
    <w:div w:id="1786654848">
      <w:bodyDiv w:val="1"/>
      <w:marLeft w:val="0"/>
      <w:marRight w:val="0"/>
      <w:marTop w:val="0"/>
      <w:marBottom w:val="0"/>
      <w:divBdr>
        <w:top w:val="none" w:sz="0" w:space="0" w:color="auto"/>
        <w:left w:val="none" w:sz="0" w:space="0" w:color="auto"/>
        <w:bottom w:val="none" w:sz="0" w:space="0" w:color="auto"/>
        <w:right w:val="none" w:sz="0" w:space="0" w:color="auto"/>
      </w:divBdr>
    </w:div>
    <w:div w:id="19617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BBCE5-69E8-4C40-BF48-0A2F35067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Pages>
  <Words>2184</Words>
  <Characters>12449</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Penedos</dc:creator>
  <cp:lastModifiedBy>Ana Penedos</cp:lastModifiedBy>
  <cp:revision>26</cp:revision>
  <dcterms:created xsi:type="dcterms:W3CDTF">2018-12-11T08:48:00Z</dcterms:created>
  <dcterms:modified xsi:type="dcterms:W3CDTF">2018-12-14T09:59:00Z</dcterms:modified>
</cp:coreProperties>
</file>