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enturyGothic-bold.ttf" ContentType="application/x-font-ttf"/>
  <Override PartName="/word/fonts/CenturyGothic-boldItalic.ttf" ContentType="application/x-font-ttf"/>
  <Override PartName="/word/fonts/CenturyGothic-italic.ttf" ContentType="application/x-font-ttf"/>
  <Override PartName="/word/fonts/CenturyGothic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spacing w:after="8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>
            <w:pPr>
              <w:spacing w:after="80"/>
              <w:jc w:val="both"/>
              <w:rPr>
                <w:color w:val="767171"/>
                <w:sz w:val="24"/>
                <w:szCs w:val="24"/>
              </w:rPr>
            </w:pPr>
            <w:r>
              <w:rPr>
                <w:rFonts w:ascii="Calibri" w:hAnsi="Calibri" w:cs="Calibri" w:eastAsia="Calibri"/>
                <w:b w:val="0"/>
                <w:i/>
                <w:color w:val="000000"/>
                <w:sz w:val="22"/>
              </w:rPr>
              <w:t>Iahn Vera · Proyecto APT CascoVision · corte al 15 de octubre de 2026 (semana 10)</w:t>
            </w:r>
          </w:p>
          <w:p>
            <w:pPr>
              <w:spacing w:after="80"/>
              <w:jc w:val="both"/>
              <w:rPr>
                <w:color w:val="767171"/>
                <w:sz w:val="24"/>
                <w:szCs w:val="24"/>
              </w:rPr>
            </w:pP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2"/>
              </w:rPr>
              <w:t>No todas. La planificación y el análisis avanzaron según la carta Gantt, pero el diseño quedó a medio camino y una parte de la construcción todavía no parte.</w:t>
            </w:r>
          </w:p>
          <w:p>
            <w:pPr>
              <w:spacing w:after="80"/>
              <w:jc w:val="both"/>
              <w:rPr>
                <w:color w:val="767171"/>
                <w:sz w:val="24"/>
                <w:szCs w:val="24"/>
              </w:rPr>
            </w:pPr>
            <w:r>
              <w:rPr>
                <w:rFonts w:ascii="Calibri" w:hAnsi="Calibri" w:cs="Calibri" w:eastAsia="Calibri"/>
                <w:b/>
                <w:i w:val="0"/>
                <w:color w:val="000000"/>
                <w:sz w:val="22"/>
              </w:rPr>
              <w:t xml:space="preserve">Lo que se cumplió a tiempo. </w:t>
            </w: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2"/>
              </w:rPr>
              <w:t>La Fase 1 se cerró en la semana 4 (nota grupal 6,8). En la fase de análisis entregué el borrador v0.2 del SRS (D1) en la semana 7, la carta Gantt de la metodología en cascada y el README del repositorio, y la baliza M5Stack StickS3 se compró el 23 de septiembre, como estaba previsto. El entrenamiento del modelo partió en la semana 9 gracias al solapamiento controlado que dejamos en la Gantt y ya tiene resultados medibles.</w:t>
            </w:r>
          </w:p>
          <w:p>
            <w:pPr>
              <w:spacing w:after="80"/>
              <w:jc w:val="both"/>
              <w:rPr>
                <w:color w:val="767171"/>
                <w:sz w:val="24"/>
                <w:szCs w:val="24"/>
              </w:rPr>
            </w:pPr>
            <w:r>
              <w:rPr>
                <w:rFonts w:ascii="Calibri" w:hAnsi="Calibri" w:cs="Calibri" w:eastAsia="Calibri"/>
                <w:b/>
                <w:i w:val="0"/>
                <w:color w:val="000000"/>
                <w:sz w:val="22"/>
              </w:rPr>
              <w:t xml:space="preserve">Lo que está atrasado. </w:t>
            </w: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2"/>
              </w:rPr>
              <w:t>El SRS sigue sin aprobación formal: la v0.3 (9 de octubre) abrió decisiones pendientes en su sección 4.6. El documento de diseño (D2) y el plan de pruebas (D3), que debían cerrar la semana 9, existen solo en piezas sueltas: el diagrama de casos de uso, el contrato de la API y la arquitectura descrita en el README. El firmware de la baliza, el dashboard y los contenedores Docker no se han iniciado.</w:t>
            </w:r>
          </w:p>
          <w:p>
            <w:pPr>
              <w:spacing w:after="80"/>
              <w:jc w:val="both"/>
              <w:rPr>
                <w:color w:val="767171"/>
                <w:sz w:val="24"/>
                <w:szCs w:val="24"/>
              </w:rPr>
            </w:pPr>
            <w:r>
              <w:rPr>
                <w:rFonts w:ascii="Calibri" w:hAnsi="Calibri" w:cs="Calibri" w:eastAsia="Calibri"/>
                <w:b/>
                <w:i w:val="0"/>
                <w:color w:val="000000"/>
                <w:sz w:val="22"/>
              </w:rPr>
              <w:t xml:space="preserve">Lo que cambió en mi parte. </w:t>
            </w: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2"/>
              </w:rPr>
              <w:t>En la Gantt tengo a cargo el dataset y el entrenamiento (4.1) y el agente Edge (4.6). El modelo lo terminó entrenando Joaquín, que avanzó más rápido con el dataset Construction-PPE de Ultralytics. Yo me fui moviendo hacia la coordinación: la Gantt, el SRS, la revisión de los pull requests y, esta semana, la integración de las dos ramas que implementan el registro de incidentes.</w:t>
            </w:r>
          </w:p>
          <w:p>
            <w:pPr>
              <w:spacing w:after="80"/>
              <w:jc w:val="both"/>
              <w:rPr>
                <w:color w:val="767171"/>
                <w:sz w:val="24"/>
                <w:szCs w:val="24"/>
              </w:rPr>
            </w:pPr>
            <w:r>
              <w:rPr>
                <w:rFonts w:ascii="Calibri" w:hAnsi="Calibri" w:cs="Calibri" w:eastAsia="Calibri"/>
                <w:b/>
                <w:i w:val="0"/>
                <w:color w:val="000000"/>
                <w:sz w:val="22"/>
              </w:rPr>
              <w:t xml:space="preserve">Factores que facilitaron. </w:t>
            </w: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2"/>
              </w:rPr>
              <w:t>Partimos de un proyecto ya evaluado en Evaluación de Proyectos, con alcance y arquitectura definidos; el dataset público ya venía etiquetado; las decisiones grandes (metodología en cascada, baliza zonal, el agente Edge como emisor de la alerta) se tomaron temprano, en la semana 7; y la rama main protegida nos obliga a revisar cada cambio antes de integrarlo.</w:t>
            </w:r>
          </w:p>
          <w:p>
            <w:pPr>
              <w:spacing w:after="80"/>
              <w:jc w:val="both"/>
              <w:rPr>
                <w:color w:val="767171"/>
                <w:sz w:val="24"/>
                <w:szCs w:val="24"/>
              </w:rPr>
            </w:pPr>
            <w:r>
              <w:rPr>
                <w:rFonts w:ascii="Calibri" w:hAnsi="Calibri" w:cs="Calibri" w:eastAsia="Calibri"/>
                <w:b/>
                <w:i w:val="0"/>
                <w:color w:val="000000"/>
                <w:sz w:val="22"/>
              </w:rPr>
              <w:t xml:space="preserve">Factores que dificultaron. </w:t>
            </w: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2"/>
              </w:rPr>
              <w:t>La carga académica paralela de los cuatro; el trabajo en paralelo sin coordinación, que terminó en dos implementaciones distintas del mismo endpoint POST /incidents; un dataset que no trae la clase no_vest, cuando el producto se compromete a detectar la falta de chaleco; y la subida de archivos por la web de GitHub, que metió al repositorio el dataset completo (cerca de 258 MB) y pesos duplicados.</w:t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spacing w:after="8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>
            <w:pPr>
              <w:spacing w:after="80"/>
              <w:jc w:val="both"/>
              <w:rPr>
                <w:color w:val="767171"/>
                <w:sz w:val="24"/>
                <w:szCs w:val="24"/>
              </w:rPr>
            </w:pP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2"/>
              </w:rPr>
              <w:t>Estoy enfrentando las dificultades en cuatro frentes, priorizando lo que pesa en la entrega de avance:</w:t>
            </w:r>
          </w:p>
          <w:p>
            <w:pPr>
              <w:tabs>
                <w:tab w:pos="280" w:val="left"/>
              </w:tabs>
              <w:spacing w:after="80"/>
              <w:ind w:left="280" w:hanging="200"/>
              <w:jc w:val="both"/>
              <w:rPr>
                <w:color w:val="767171"/>
                <w:sz w:val="24"/>
                <w:szCs w:val="24"/>
              </w:rPr>
            </w:pP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000000"/>
                <w:sz w:val="22"/>
              </w:rPr>
              <w:t xml:space="preserve">Duplicación de trabajo. </w:t>
            </w: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2"/>
              </w:rPr>
              <w:t>Esta semana estoy integrando en una sola rama las dos versiones de POST /incidents: la de Fernando, con PostgreSQL, token del agente Edge y la migración 001_create_incidents.sql, y la de Joaquín, con sus diez pruebas automatizadas. La idea es quedarnos con la persistencia en PostgreSQL y con las pruebas, y que todo entre a main por pull request revisado.</w:t>
            </w:r>
          </w:p>
          <w:p>
            <w:pPr>
              <w:tabs>
                <w:tab w:pos="280" w:val="left"/>
              </w:tabs>
              <w:spacing w:after="80"/>
              <w:ind w:left="280" w:hanging="200"/>
              <w:jc w:val="both"/>
              <w:rPr>
                <w:color w:val="767171"/>
                <w:sz w:val="24"/>
                <w:szCs w:val="24"/>
              </w:rPr>
            </w:pP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000000"/>
                <w:sz w:val="22"/>
              </w:rPr>
              <w:t xml:space="preserve">Documentos atrasados. </w:t>
            </w: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2"/>
              </w:rPr>
              <w:t>El D2 y el D3 no hay que escribirlos desde cero. Propongo consolidarlos en la semana 11 con lo que ya existe: la arquitectura del README, el diagrama de casos de uso de Benjamín, el contrato docs/API.md y la migración de la base de datos, y sumar lo que falta: el diagrama ER completo, el de despliegue y el diseño Docker.</w:t>
            </w:r>
          </w:p>
          <w:p>
            <w:pPr>
              <w:tabs>
                <w:tab w:pos="280" w:val="left"/>
              </w:tabs>
              <w:spacing w:after="80"/>
              <w:ind w:left="280" w:hanging="200"/>
              <w:jc w:val="both"/>
              <w:rPr>
                <w:color w:val="767171"/>
                <w:sz w:val="24"/>
                <w:szCs w:val="24"/>
              </w:rPr>
            </w:pP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000000"/>
                <w:sz w:val="22"/>
              </w:rPr>
              <w:t xml:space="preserve">Métricas del modelo. </w:t>
            </w: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2"/>
              </w:rPr>
              <w:t>El modelo actual (YOLO26s, 100 épocas) llega a un recall de 0,89 en la regla de chaleco, pero solo 0,757 en la de casco, contra el 0,85 que exige el SRS. Hay que reentrenar priorizando las clases helmet y no_helmet, sumar imágenes propias y exportar a ONNX para el agente Edge.</w:t>
            </w:r>
          </w:p>
          <w:p>
            <w:pPr>
              <w:tabs>
                <w:tab w:pos="280" w:val="left"/>
              </w:tabs>
              <w:spacing w:after="80"/>
              <w:ind w:left="280" w:hanging="200"/>
              <w:jc w:val="both"/>
              <w:rPr>
                <w:color w:val="767171"/>
                <w:sz w:val="24"/>
                <w:szCs w:val="24"/>
              </w:rPr>
            </w:pP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000000"/>
                <w:sz w:val="22"/>
              </w:rPr>
              <w:t xml:space="preserve">Hardware y equidad. </w:t>
            </w: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2"/>
              </w:rPr>
              <w:t>Mientras la baliza no esté integrada, el protocolo /alert se prueba contra un receptor simulado en Python. Además, sé que tengo que subir más código propio: hoy tengo 5 commits en main, contra 27 de Joaquín. Por eso voy a tomar el agente Edge con RTSP y la exportación a ONNX, que son tareas mías en la Gantt.</w:t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spacing w:after="8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>
            <w:pPr>
              <w:spacing w:after="80"/>
              <w:jc w:val="both"/>
              <w:rPr>
                <w:color w:val="767171"/>
                <w:sz w:val="24"/>
                <w:szCs w:val="24"/>
              </w:rPr>
            </w:pPr>
            <w:r>
              <w:rPr>
                <w:rFonts w:ascii="Calibri" w:hAnsi="Calibri" w:cs="Calibri" w:eastAsia="Calibri"/>
                <w:b/>
                <w:i w:val="0"/>
                <w:color w:val="000000"/>
                <w:sz w:val="22"/>
              </w:rPr>
              <w:t xml:space="preserve">Lo que destaco. </w:t>
            </w: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2"/>
              </w:rPr>
              <w:t>Creo que mi mayor aporte ha sido sostener la coherencia del proyecto. Detecté a tiempo que el plan incremental no calzaba con lo que el docente vio en la Fase 1 y propuse la cascada con puertas de fase; dejé por escrito las decisiones de diseño (baliza zonal sin identificar personas, el agente Edge como emisor, Docker en el alcance) y revisé los pull requests con pruebas en mano. El PR #1 lo validé corriendo su prueba en un entorno aislado, y en el PR #2 documenté siete problemas concretos antes de que entrara a main.</w:t>
            </w:r>
          </w:p>
          <w:p>
            <w:pPr>
              <w:spacing w:after="80"/>
              <w:jc w:val="both"/>
              <w:rPr>
                <w:color w:val="767171"/>
                <w:sz w:val="24"/>
                <w:szCs w:val="24"/>
              </w:rPr>
            </w:pPr>
            <w:r>
              <w:rPr>
                <w:rFonts w:ascii="Calibri" w:hAnsi="Calibri" w:cs="Calibri" w:eastAsia="Calibri"/>
                <w:b/>
                <w:i w:val="0"/>
                <w:color w:val="000000"/>
                <w:sz w:val="22"/>
              </w:rPr>
              <w:t xml:space="preserve">Lo que debo mejorar. </w:t>
            </w: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2"/>
              </w:rPr>
              <w:t>Tres cosas. Primero, mi aporte de código es bajo para el peso que tiene la equidad en la rúbrica (15 de 100 puntos): casi todo lo que subí es documentación. Segundo, mis revisiones no bastaron para frenar el merge del PR #2 sin limpiar; debí acompañar la corrección en vez de solo dejar el informe. Tercero, dejé que la Gantt se desalineara de lo que pasaba en la realidad: los roles cambiaron en la práctica y el plan no se actualizó.</w:t>
            </w:r>
          </w:p>
          <w:p>
            <w:pPr>
              <w:spacing w:after="80"/>
              <w:jc w:val="both"/>
              <w:rPr>
                <w:color w:val="767171"/>
                <w:sz w:val="24"/>
                <w:szCs w:val="24"/>
              </w:rPr>
            </w:pP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2"/>
              </w:rPr>
              <w:t>En resumen, evalúo mi trabajo como sólido en gestión y documentación, e insuficiente todavía en construcción. Las cinco semanas que quedan las tengo que usar en código propio y verificable.</w:t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spacing w:after="8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>
            <w:pPr>
              <w:spacing w:after="80"/>
              <w:jc w:val="both"/>
              <w:rPr>
                <w:color w:val="767171"/>
                <w:sz w:val="24"/>
                <w:szCs w:val="24"/>
              </w:rPr>
            </w:pPr>
            <w:r>
              <w:rPr>
                <w:rFonts w:ascii="Calibri" w:hAnsi="Calibri" w:cs="Calibri" w:eastAsia="Calibri"/>
                <w:b/>
                <w:i w:val="0"/>
                <w:color w:val="000000"/>
                <w:sz w:val="22"/>
              </w:rPr>
              <w:t>Preguntas para el docente:</w:t>
            </w: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2"/>
              </w:rPr>
            </w:r>
          </w:p>
          <w:p>
            <w:pPr>
              <w:tabs>
                <w:tab w:pos="280" w:val="left"/>
              </w:tabs>
              <w:spacing w:after="80"/>
              <w:ind w:left="280" w:hanging="200"/>
              <w:jc w:val="both"/>
              <w:rPr>
                <w:color w:val="767171"/>
                <w:sz w:val="24"/>
                <w:szCs w:val="24"/>
              </w:rPr>
            </w:pP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2"/>
              </w:rPr>
              <w:t>El criterio del SRS exige mAP@0,5 ≥ 0,90. Nuestro modelo tiene 11 clases, pero el producto solo usa cuatro (Person, helmet, no_helmet y vest). ¿Es válido medir la aceptación con la métrica de la regla de negocio (¿lleva casco?, ¿lleva chaleco?) en lugar del mAP promedio de todas las clases?</w:t>
            </w:r>
          </w:p>
          <w:p>
            <w:pPr>
              <w:tabs>
                <w:tab w:pos="280" w:val="left"/>
              </w:tabs>
              <w:spacing w:after="80"/>
              <w:ind w:left="280" w:hanging="200"/>
              <w:jc w:val="both"/>
              <w:rPr>
                <w:color w:val="767171"/>
                <w:sz w:val="24"/>
                <w:szCs w:val="24"/>
              </w:rPr>
            </w:pP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2"/>
              </w:rPr>
              <w:t>En la observación F7 («quitar seguridad laboral?»), ¿se elimina el bloque normativo completo o basta con reducirlo a una mención dentro del problema?</w:t>
            </w:r>
          </w:p>
          <w:p>
            <w:pPr>
              <w:tabs>
                <w:tab w:pos="280" w:val="left"/>
              </w:tabs>
              <w:spacing w:after="80"/>
              <w:ind w:left="280" w:hanging="200"/>
              <w:jc w:val="both"/>
              <w:rPr>
                <w:color w:val="767171"/>
                <w:sz w:val="24"/>
                <w:szCs w:val="24"/>
              </w:rPr>
            </w:pP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2"/>
              </w:rPr>
              <w:t>La plantilla 2.3 habla de grupos de 2 o 3 integrantes y la planilla de avance trae 3 filas, pero somos 4. ¿Se evalúa igual? Tampoco calzan las semanas: la 2.3 dice semana 7 y el cronograma, semana 9.</w:t>
            </w:r>
          </w:p>
          <w:p>
            <w:pPr>
              <w:tabs>
                <w:tab w:pos="280" w:val="left"/>
              </w:tabs>
              <w:spacing w:after="80"/>
              <w:ind w:left="280" w:hanging="200"/>
              <w:jc w:val="both"/>
              <w:rPr>
                <w:color w:val="767171"/>
                <w:sz w:val="24"/>
                <w:szCs w:val="24"/>
              </w:rPr>
            </w:pP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2"/>
              </w:rPr>
              <w:t>En el criterio de equidad del repositorio, ¿se consideran las revisiones de pull requests y las integraciones, o solo la cantidad de commits por persona?</w:t>
            </w:r>
          </w:p>
          <w:p>
            <w:pPr>
              <w:spacing w:after="80"/>
              <w:jc w:val="both"/>
              <w:rPr>
                <w:color w:val="767171"/>
                <w:sz w:val="24"/>
                <w:szCs w:val="24"/>
              </w:rPr>
            </w:pPr>
            <w:r>
              <w:rPr>
                <w:rFonts w:ascii="Calibri" w:hAnsi="Calibri" w:cs="Calibri" w:eastAsia="Calibri"/>
                <w:b/>
                <w:i w:val="0"/>
                <w:color w:val="000000"/>
                <w:sz w:val="22"/>
              </w:rPr>
              <w:t>Pregunta para mis pares:</w:t>
            </w: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2"/>
              </w:rPr>
            </w:r>
          </w:p>
          <w:p>
            <w:pPr>
              <w:tabs>
                <w:tab w:pos="280" w:val="left"/>
              </w:tabs>
              <w:spacing w:after="80"/>
              <w:ind w:left="280" w:hanging="200"/>
              <w:jc w:val="both"/>
              <w:rPr>
                <w:color w:val="767171"/>
                <w:sz w:val="24"/>
                <w:szCs w:val="24"/>
              </w:rPr>
            </w:pP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2"/>
              </w:rPr>
              <w:t>¿Cómo nos aseguramos de que nadie empiece una tarea que ya tiene otro? Propongo usar Issues de GitHub, uno por tarea de la Gantt, con su responsable asignado.</w:t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spacing w:after="8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>
            <w:pPr>
              <w:spacing w:after="80"/>
              <w:jc w:val="both"/>
              <w:rPr>
                <w:color w:val="767171"/>
                <w:sz w:val="24"/>
                <w:szCs w:val="24"/>
              </w:rPr>
            </w:pP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2"/>
              </w:rPr>
              <w:t>Sí. La distribución real ya se apartó de la Gantt, y lo correcto es formalizarla en vez de seguir con un plan que no refleja lo que hacemos. Propongo esta redistribución:</w:t>
            </w:r>
          </w:p>
          <w:p>
            <w:pPr>
              <w:tabs>
                <w:tab w:pos="280" w:val="left"/>
              </w:tabs>
              <w:spacing w:after="80"/>
              <w:ind w:left="280" w:hanging="200"/>
              <w:jc w:val="both"/>
              <w:rPr>
                <w:color w:val="767171"/>
                <w:sz w:val="24"/>
                <w:szCs w:val="24"/>
              </w:rPr>
            </w:pP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000000"/>
                <w:sz w:val="22"/>
              </w:rPr>
              <w:t xml:space="preserve">Joaquín Armijo: </w:t>
            </w: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2"/>
              </w:rPr>
              <w:t>modelo de IA y reentrenamiento (4.1), que ya lidera, más el docker-compose (4.11), que ya era suyo.</w:t>
            </w:r>
          </w:p>
          <w:p>
            <w:pPr>
              <w:tabs>
                <w:tab w:pos="280" w:val="left"/>
              </w:tabs>
              <w:spacing w:after="80"/>
              <w:ind w:left="280" w:hanging="200"/>
              <w:jc w:val="both"/>
              <w:rPr>
                <w:color w:val="767171"/>
                <w:sz w:val="24"/>
                <w:szCs w:val="24"/>
              </w:rPr>
            </w:pP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000000"/>
                <w:sz w:val="22"/>
              </w:rPr>
              <w:t xml:space="preserve">Fernando Muñoz: </w:t>
            </w: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2"/>
              </w:rPr>
              <w:t>base de datos y API (4.2 y 4.3), que ya construyó con PostgreSQL y token del agente; el plan de pruebas D3 (3.5) y el firmware de la baliza física cuando la integremos.</w:t>
            </w:r>
          </w:p>
          <w:p>
            <w:pPr>
              <w:tabs>
                <w:tab w:pos="280" w:val="left"/>
              </w:tabs>
              <w:spacing w:after="80"/>
              <w:ind w:left="280" w:hanging="200"/>
              <w:jc w:val="both"/>
              <w:rPr>
                <w:color w:val="767171"/>
                <w:sz w:val="24"/>
                <w:szCs w:val="24"/>
              </w:rPr>
            </w:pP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000000"/>
                <w:sz w:val="22"/>
              </w:rPr>
              <w:t xml:space="preserve">Iahn Vera: </w:t>
            </w: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2"/>
              </w:rPr>
              <w:t>agente Edge con RTSP, exportación a ONNX y supresión de alertas repetidas (4.6); el receptor simulado del protocolo /alert, porque el agente es el emisor de la alerta; la integración de ramas, y la consolidación del D2.</w:t>
            </w:r>
          </w:p>
          <w:p>
            <w:pPr>
              <w:tabs>
                <w:tab w:pos="280" w:val="left"/>
              </w:tabs>
              <w:spacing w:after="80"/>
              <w:ind w:left="280" w:hanging="200"/>
              <w:jc w:val="both"/>
              <w:rPr>
                <w:color w:val="767171"/>
                <w:sz w:val="24"/>
                <w:szCs w:val="24"/>
              </w:rPr>
            </w:pP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000000"/>
                <w:sz w:val="22"/>
              </w:rPr>
              <w:t xml:space="preserve">Benjamín Cáceres: </w:t>
            </w: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2"/>
              </w:rPr>
              <w:t>dashboard web (4.5), alertas remotas por SMS y correo (4.7) y los reportes PDF/Excel (4.8), que pasan desde Joaquín porque se alimentan del mismo dashboard.</w:t>
            </w:r>
          </w:p>
          <w:p>
            <w:pPr>
              <w:spacing w:after="80"/>
              <w:jc w:val="both"/>
              <w:rPr>
                <w:color w:val="767171"/>
                <w:sz w:val="24"/>
                <w:szCs w:val="24"/>
              </w:rPr>
            </w:pP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2"/>
              </w:rPr>
              <w:t>El equipo validó esta redistribución el 15 de octubre. Las tareas nuevas son dos: la limpieza del repositorio (sacar el dataset y los pesos duplicados de la raíz, y dejar el modelo en models/), que puede tomar Joaquín porque conoce esos archivos, y la consolidación del D2, que asumo yo.</w:t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vcydd1vppnae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spacing w:after="8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>
            <w:pPr>
              <w:spacing w:after="80"/>
              <w:jc w:val="both"/>
              <w:rPr>
                <w:color w:val="767171"/>
                <w:sz w:val="24"/>
                <w:szCs w:val="24"/>
              </w:rPr>
            </w:pPr>
            <w:r>
              <w:rPr>
                <w:rFonts w:ascii="Calibri" w:hAnsi="Calibri" w:cs="Calibri" w:eastAsia="Calibri"/>
                <w:b/>
                <w:i w:val="0"/>
                <w:color w:val="000000"/>
                <w:sz w:val="22"/>
              </w:rPr>
              <w:t xml:space="preserve">Aspectos positivos. </w:t>
            </w: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2"/>
              </w:rPr>
              <w:t>Hay compromiso de los cuatro y todos tienen commits en el repositorio. Fernando instaló buenas prácticas (commits convencionales, dependencias con versión fija y pruebas automatizadas) y Joaquín empujó el modelo hasta tener métricas reales en la semana 9, antes de lo que pedía la Gantt. La protección de la rama main nos obligó a revisar el trabajo del otro, y eso ya nos salvó de algunos errores.</w:t>
            </w:r>
          </w:p>
          <w:p>
            <w:pPr>
              <w:spacing w:after="80"/>
              <w:jc w:val="both"/>
              <w:rPr>
                <w:color w:val="767171"/>
                <w:sz w:val="24"/>
                <w:szCs w:val="24"/>
              </w:rPr>
            </w:pPr>
            <w:r>
              <w:rPr>
                <w:rFonts w:ascii="Calibri" w:hAnsi="Calibri" w:cs="Calibri" w:eastAsia="Calibri"/>
                <w:b/>
                <w:i w:val="0"/>
                <w:color w:val="000000"/>
                <w:sz w:val="22"/>
              </w:rPr>
              <w:t xml:space="preserve">Aspectos por mejorar. </w:t>
            </w: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2"/>
              </w:rPr>
              <w:t>La coordinación. Que dos personas hayan programado el mismo endpoint por separado muestra que no estamos diciendo a tiempo quién toma qué. También tenemos que cuidar la calidad del historial: mensajes de commit como «a» o «yes» no dicen nada al docente que evalúa el repositorio. Y el aporte está desbalanceado: 27, 13, 6 y 5 commits.</w:t>
            </w:r>
          </w:p>
          <w:p>
            <w:pPr>
              <w:spacing w:after="80"/>
              <w:jc w:val="both"/>
              <w:rPr>
                <w:color w:val="767171"/>
                <w:sz w:val="24"/>
                <w:szCs w:val="24"/>
              </w:rPr>
            </w:pPr>
            <w:r>
              <w:rPr>
                <w:rFonts w:ascii="Calibri" w:hAnsi="Calibri" w:cs="Calibri" w:eastAsia="Calibri"/>
                <w:b/>
                <w:i w:val="0"/>
                <w:color w:val="000000"/>
                <w:sz w:val="22"/>
              </w:rPr>
              <w:t xml:space="preserve">Compromisos. </w:t>
            </w: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2"/>
              </w:rPr>
              <w:t>Una reunión corta cada semana contra la Gantt, un Issue por tarea con responsable, una rama por tarea con pull request revisado por otro integrante, y mensajes de commit que digan qué cambió.</w:t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134" w:top="1440" w:left="1077" w:right="1077" w:header="567" w:footer="46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>
      <w:rPr>
        <w:rFonts w:ascii="Calibri" w:hAnsi="Calibri" w:cs="Calibri" w:eastAsia="Calibri"/>
        <w:b w:val="0"/>
        <w:i w:val="0"/>
        <w:color w:val="000000"/>
        <w:sz w:val="18"/>
      </w:rPr>
      <w:t xml:space="preserve">Página </w:t>
    </w:r>
    <w:r>
      <w:rPr>
        <w:rFonts w:ascii="Calibri" w:hAnsi="Calibri" w:cs="Calibri" w:eastAsia="Calibri"/>
        <w:b w:val="0"/>
        <w:i w:val="0"/>
        <w:color w:val="000000"/>
        <w:sz w:val="18"/>
      </w:rPr>
      <w:fldChar w:fldCharType="begin"/>
    </w:r>
    <w:r>
      <w:rPr>
        <w:rFonts w:ascii="Calibri" w:hAnsi="Calibri" w:cs="Calibri" w:eastAsia="Calibri"/>
        <w:b w:val="0"/>
        <w:i w:val="0"/>
        <w:color w:val="000000"/>
        <w:sz w:val="18"/>
      </w:rPr>
      <w:instrText xml:space="preserve"> PAGE </w:instrText>
    </w:r>
    <w:r>
      <w:rPr>
        <w:rFonts w:ascii="Calibri" w:hAnsi="Calibri" w:cs="Calibri" w:eastAsia="Calibri"/>
        <w:b w:val="0"/>
        <w:i w:val="0"/>
        <w:color w:val="000000"/>
        <w:sz w:val="18"/>
      </w:rPr>
      <w:fldChar w:fldCharType="separate"/>
    </w:r>
    <w:r>
      <w:rPr>
        <w:rFonts w:ascii="Calibri" w:hAnsi="Calibri" w:cs="Calibri" w:eastAsia="Calibri"/>
        <w:b w:val="0"/>
        <w:i w:val="0"/>
        <w:color w:val="000000"/>
        <w:sz w:val="18"/>
      </w:rPr>
      <w:t>1</w:t>
    </w:r>
    <w:r>
      <w:rPr>
        <w:rFonts w:ascii="Calibri" w:hAnsi="Calibri" w:cs="Calibri" w:eastAsia="Calibri"/>
        <w:b w:val="0"/>
        <w:i w:val="0"/>
        <w:color w:val="000000"/>
        <w:sz w:val="18"/>
      </w:rPr>
      <w:fldChar w:fldCharType="end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Diario de reflexión Fase 2 · CascoVision</dc:title>
  <cp:lastModifiedBy>python-docx</cp:lastModifiedBy>
  <cp:revision>1</cp:revision>
  <dcterms:modified xsi:type="dcterms:W3CDTF">2026-10-16T02:21:19Z</dcterms:modified>
  <dc:creator>Iahn Vera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