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ft6ckq3qpnf9"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val="clear" w:color="auto" w:fill="E8F1DE"/>
          </w:tcPr>
          <w:p>
            <w:r>
              <w:rPr>
                <w:rFonts w:ascii="Calibri" w:hAnsi="Calibri"/>
                <w:b/>
                <w:sz w:val="22"/>
              </w:rPr>
              <w:t xml:space="preserve">☒  </w:t>
            </w:r>
          </w:p>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
              <w:rPr>
                <w:rFonts w:ascii="Calibri" w:hAnsi="Calibri"/>
                <w:b/>
                <w:sz w:val="22"/>
              </w:rPr>
              <w:t xml:space="preserve">☐  </w:t>
            </w:r>
          </w:p>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
              <w:rPr>
                <w:rFonts w:ascii="Calibri" w:hAnsi="Calibri"/>
                <w:b/>
                <w:sz w:val="22"/>
              </w:rPr>
              <w:t xml:space="preserve">☐  </w:t>
            </w:r>
          </w:p>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
              <w:rPr>
                <w:rFonts w:ascii="Calibri" w:hAnsi="Calibri"/>
                <w:b/>
                <w:sz w:val="22"/>
              </w:rPr>
              <w:t xml:space="preserve">☐  </w:t>
            </w:r>
          </w:p>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val="clear" w:color="auto" w:fill="E8F1DE"/>
          </w:tcPr>
          <w:p>
            <w:r>
              <w:rPr>
                <w:rFonts w:ascii="Calibri" w:hAnsi="Calibri"/>
                <w:b/>
                <w:sz w:val="22"/>
              </w:rPr>
              <w:t xml:space="preserve">☒  </w:t>
            </w:r>
          </w:p>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
              <w:rPr>
                <w:rFonts w:ascii="Calibri" w:hAnsi="Calibri"/>
                <w:b/>
                <w:sz w:val="22"/>
              </w:rPr>
              <w:t xml:space="preserve">☐  </w:t>
            </w:r>
          </w:p>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
              <w:rPr>
                <w:rFonts w:ascii="Calibri" w:hAnsi="Calibri"/>
                <w:b/>
                <w:sz w:val="22"/>
              </w:rPr>
              <w:t xml:space="preserve">☐  </w:t>
            </w:r>
          </w:p>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
              <w:rPr>
                <w:rFonts w:ascii="Calibri" w:hAnsi="Calibri"/>
                <w:b/>
                <w:sz w:val="22"/>
              </w:rPr>
              <w:t xml:space="preserve">☐  </w:t>
            </w:r>
          </w:p>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val="clear" w:color="auto" w:fill="E8F1DE"/>
          </w:tcPr>
          <w:p>
            <w:r>
              <w:rPr>
                <w:rFonts w:ascii="Calibri" w:hAnsi="Calibri"/>
                <w:b/>
                <w:sz w:val="22"/>
              </w:rPr>
              <w:t xml:space="preserve">☒  </w:t>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
              <w:rPr>
                <w:rFonts w:ascii="Calibri" w:hAnsi="Calibri"/>
                <w:b/>
                <w:sz w:val="22"/>
              </w:rPr>
              <w:t xml:space="preserve">☐  </w:t>
            </w:r>
          </w:p>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
              <w:rPr>
                <w:rFonts w:ascii="Calibri" w:hAnsi="Calibri"/>
                <w:b/>
                <w:sz w:val="22"/>
              </w:rPr>
              <w:t xml:space="preserve">☐  </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
              <w:rPr>
                <w:rFonts w:ascii="Calibri" w:hAnsi="Calibri"/>
                <w:b/>
                <w:sz w:val="22"/>
              </w:rPr>
              <w:t xml:space="preserve">☐  </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val="clear" w:color="auto" w:fill="E8F1DE"/>
          </w:tcPr>
          <w:p>
            <w:r>
              <w:rPr>
                <w:rFonts w:ascii="Calibri" w:hAnsi="Calibri"/>
                <w:b/>
                <w:sz w:val="22"/>
              </w:rPr>
              <w:t xml:space="preserve">☒  </w:t>
            </w:r>
          </w:p>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
              <w:rPr>
                <w:rFonts w:ascii="Calibri" w:hAnsi="Calibri"/>
                <w:b/>
                <w:sz w:val="22"/>
              </w:rPr>
              <w:t xml:space="preserve">☐  </w:t>
            </w:r>
          </w:p>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
              <w:rPr>
                <w:rFonts w:ascii="Calibri" w:hAnsi="Calibri"/>
                <w:b/>
                <w:sz w:val="22"/>
              </w:rPr>
              <w:t xml:space="preserve">☐  </w:t>
            </w:r>
          </w:p>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
              <w:rPr>
                <w:rFonts w:ascii="Calibri" w:hAnsi="Calibri"/>
                <w:b/>
                <w:sz w:val="22"/>
              </w:rPr>
              <w:t xml:space="preserve">☐  </w:t>
            </w:r>
          </w:p>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val="clear" w:color="auto" w:fill="E8F1DE"/>
          </w:tcPr>
          <w:p>
            <w:r>
              <w:rPr>
                <w:rFonts w:ascii="Calibri" w:hAnsi="Calibri"/>
                <w:b/>
                <w:sz w:val="22"/>
              </w:rPr>
              <w:t xml:space="preserve">☒  </w:t>
            </w:r>
          </w:p>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
              <w:rPr>
                <w:rFonts w:ascii="Calibri" w:hAnsi="Calibri"/>
                <w:b/>
                <w:sz w:val="22"/>
              </w:rPr>
              <w:t xml:space="preserve">☐  </w:t>
            </w:r>
          </w:p>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
              <w:rPr>
                <w:rFonts w:ascii="Calibri" w:hAnsi="Calibri"/>
                <w:b/>
                <w:sz w:val="22"/>
              </w:rPr>
              <w:t xml:space="preserve">☐  </w:t>
            </w:r>
          </w:p>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
              <w:rPr>
                <w:rFonts w:ascii="Calibri" w:hAnsi="Calibri"/>
                <w:b/>
                <w:sz w:val="22"/>
              </w:rPr>
              <w:t xml:space="preserve">☐  </w:t>
            </w:r>
          </w:p>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
              <w:rPr>
                <w:rFonts w:ascii="Calibri" w:hAnsi="Calibri"/>
                <w:b/>
                <w:sz w:val="22"/>
              </w:rPr>
              <w:t xml:space="preserve">☐  </w:t>
            </w:r>
          </w:p>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val="clear" w:color="auto" w:fill="E8F1DE"/>
          </w:tcPr>
          <w:p>
            <w:r>
              <w:rPr>
                <w:rFonts w:ascii="Calibri" w:hAnsi="Calibri"/>
                <w:b/>
                <w:sz w:val="22"/>
              </w:rPr>
              <w:t xml:space="preserve">☒  </w:t>
            </w:r>
          </w:p>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
              <w:rPr>
                <w:rFonts w:ascii="Calibri" w:hAnsi="Calibri"/>
                <w:b/>
                <w:sz w:val="22"/>
              </w:rPr>
              <w:t xml:space="preserve">☐  </w:t>
            </w:r>
          </w:p>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
              <w:rPr>
                <w:rFonts w:ascii="Calibri" w:hAnsi="Calibri"/>
                <w:b/>
                <w:sz w:val="22"/>
              </w:rPr>
              <w:t xml:space="preserve">☐  </w:t>
            </w:r>
          </w:p>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
              <w:rPr>
                <w:rFonts w:ascii="Calibri" w:hAnsi="Calibri"/>
                <w:b/>
                <w:sz w:val="22"/>
              </w:rPr>
              <w:t xml:space="preserve">☐  </w:t>
            </w:r>
          </w:p>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val="clear" w:color="auto" w:fill="E8F1DE"/>
          </w:tcPr>
          <w:p>
            <w:r>
              <w:rPr>
                <w:rFonts w:ascii="Calibri" w:hAnsi="Calibri"/>
                <w:b/>
                <w:sz w:val="22"/>
              </w:rPr>
              <w:t xml:space="preserve">☒  </w:t>
            </w:r>
          </w:p>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
              <w:rPr>
                <w:rFonts w:ascii="Calibri" w:hAnsi="Calibri"/>
                <w:b/>
                <w:sz w:val="22"/>
              </w:rPr>
              <w:t xml:space="preserve">☐  </w:t>
            </w:r>
          </w:p>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
              <w:rPr>
                <w:rFonts w:ascii="Calibri" w:hAnsi="Calibri"/>
                <w:b/>
                <w:sz w:val="22"/>
              </w:rPr>
              <w:t xml:space="preserve">☐  </w:t>
            </w:r>
          </w:p>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
              <w:rPr>
                <w:rFonts w:ascii="Calibri" w:hAnsi="Calibri"/>
                <w:b/>
                <w:sz w:val="22"/>
              </w:rPr>
              <w:t xml:space="preserve">☐  </w:t>
            </w:r>
          </w:p>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val="clear" w:color="auto" w:fill="E8F1DE"/>
          </w:tcPr>
          <w:p>
            <w:r>
              <w:rPr>
                <w:rFonts w:ascii="Calibri" w:hAnsi="Calibri"/>
                <w:b/>
                <w:sz w:val="22"/>
              </w:rPr>
              <w:t xml:space="preserve">☒  </w:t>
            </w:r>
          </w:p>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
              <w:rPr>
                <w:rFonts w:ascii="Calibri" w:hAnsi="Calibri"/>
                <w:b/>
                <w:sz w:val="22"/>
              </w:rPr>
              <w:t xml:space="preserve">☐  </w:t>
            </w:r>
          </w:p>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
              <w:rPr>
                <w:rFonts w:ascii="Calibri" w:hAnsi="Calibri"/>
                <w:b/>
                <w:sz w:val="22"/>
              </w:rPr>
              <w:t xml:space="preserve">☐  </w:t>
            </w:r>
          </w:p>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
              <w:rPr>
                <w:rFonts w:ascii="Calibri" w:hAnsi="Calibri"/>
                <w:b/>
                <w:sz w:val="22"/>
              </w:rPr>
              <w:t xml:space="preserve">☐  </w:t>
            </w:r>
          </w:p>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color="auto" w:fill="E8F1DE"/>
          </w:tcPr>
          <w:p>
            <w:r>
              <w:rPr>
                <w:rFonts w:ascii="Calibri" w:hAnsi="Calibri"/>
                <w:b/>
                <w:sz w:val="22"/>
              </w:rPr>
              <w:t xml:space="preserve">☒  </w:t>
            </w:r>
          </w:p>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
              <w:rPr>
                <w:rFonts w:ascii="Calibri" w:hAnsi="Calibri"/>
                <w:b/>
                <w:sz w:val="22"/>
              </w:rPr>
              <w:t xml:space="preserve">☐  </w:t>
            </w:r>
          </w:p>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
              <w:rPr>
                <w:rFonts w:ascii="Calibri" w:hAnsi="Calibri"/>
                <w:b/>
                <w:sz w:val="22"/>
              </w:rPr>
              <w:t xml:space="preserve">☐  </w:t>
            </w:r>
          </w:p>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
              <w:rPr>
                <w:rFonts w:ascii="Calibri" w:hAnsi="Calibri"/>
                <w:b/>
                <w:sz w:val="22"/>
              </w:rPr>
              <w:t xml:space="preserve">☐  </w:t>
            </w:r>
          </w:p>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val="clear" w:color="auto" w:fill="E8F1DE"/>
          </w:tcPr>
          <w:p>
            <w:r>
              <w:rPr>
                <w:rFonts w:ascii="Calibri" w:hAnsi="Calibri"/>
                <w:b/>
                <w:sz w:val="22"/>
              </w:rPr>
              <w:t xml:space="preserve">☒  </w:t>
            </w:r>
          </w:p>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
              <w:rPr>
                <w:rFonts w:ascii="Calibri" w:hAnsi="Calibri"/>
                <w:b/>
                <w:sz w:val="22"/>
              </w:rPr>
              <w:t xml:space="preserve">☐  </w:t>
            </w:r>
          </w:p>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
              <w:rPr>
                <w:rFonts w:ascii="Calibri" w:hAnsi="Calibri"/>
                <w:b/>
                <w:sz w:val="22"/>
              </w:rPr>
              <w:t xml:space="preserve">☐  </w:t>
            </w:r>
          </w:p>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
              <w:rPr>
                <w:rFonts w:ascii="Calibri" w:hAnsi="Calibri"/>
                <w:b/>
                <w:sz w:val="22"/>
              </w:rPr>
              <w:t xml:space="preserve">☐  </w:t>
            </w:r>
          </w:p>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val="clear" w:color="auto" w:fill="E8F1DE"/>
          </w:tcPr>
          <w:p>
            <w:r>
              <w:rPr>
                <w:rFonts w:ascii="Calibri" w:hAnsi="Calibri"/>
                <w:b/>
                <w:sz w:val="22"/>
              </w:rPr>
              <w:t xml:space="preserve">☒  </w:t>
            </w:r>
          </w:p>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
              <w:rPr>
                <w:rFonts w:ascii="Calibri" w:hAnsi="Calibri"/>
                <w:b/>
                <w:sz w:val="22"/>
              </w:rPr>
              <w:t xml:space="preserve">☐  </w:t>
            </w:r>
          </w:p>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
              <w:rPr>
                <w:rFonts w:ascii="Calibri" w:hAnsi="Calibri"/>
                <w:b/>
                <w:sz w:val="22"/>
              </w:rPr>
              <w:t xml:space="preserve">☐  </w:t>
            </w:r>
          </w:p>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
              <w:rPr>
                <w:rFonts w:ascii="Calibri" w:hAnsi="Calibri"/>
                <w:b/>
                <w:sz w:val="22"/>
              </w:rPr>
              <w:t xml:space="preserve">☐  </w:t>
            </w:r>
          </w:p>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
              <w:rPr>
                <w:rFonts w:ascii="Calibri" w:hAnsi="Calibri"/>
                <w:b/>
                <w:sz w:val="22"/>
              </w:rPr>
              <w:t xml:space="preserve">☐  </w:t>
            </w:r>
          </w:p>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val="clear" w:color="auto" w:fill="E8F1DE"/>
          </w:tcPr>
          <w:p>
            <w:r>
              <w:rPr>
                <w:rFonts w:ascii="Calibri" w:hAnsi="Calibri"/>
                <w:b/>
                <w:sz w:val="22"/>
              </w:rPr>
              <w:t xml:space="preserve">☒  </w:t>
            </w:r>
          </w:p>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
              <w:rPr>
                <w:rFonts w:ascii="Calibri" w:hAnsi="Calibri"/>
                <w:b/>
                <w:sz w:val="22"/>
              </w:rPr>
              <w:t xml:space="preserve">☐  </w:t>
            </w:r>
          </w:p>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p>
      <w:r>
        <w:br w:type="page"/>
      </w:r>
    </w:p>
    <w:p>
      <w:pPr>
        <w:spacing w:before="0"/>
      </w:pPr>
      <w:r>
        <w:rPr>
          <w:rFonts w:ascii="Calibri" w:hAnsi="Calibri"/>
          <w:b/>
          <w:sz w:val="28"/>
        </w:rPr>
        <w:t>Resultado de la autoevaluación</w:t>
      </w:r>
    </w:p>
    <w:p>
      <w:pPr>
        <w:spacing w:before="120"/>
      </w:pPr>
      <w:r>
        <w:rPr>
          <w:rFonts w:ascii="Calibri" w:hAnsi="Calibri"/>
          <w:b w:val="0"/>
          <w:sz w:val="20"/>
        </w:rPr>
        <w:t>Estudiante: Iahn Vera  ·  Proyecto APT: CascoVision — Sistema de detección automatizada de EPP mediante visión computacional  ·  Semana 3, período 2026.02</w:t>
      </w:r>
    </w:p>
    <w:p>
      <w:pPr>
        <w:spacing w:before="120"/>
      </w:pPr>
      <w:r>
        <w:rPr>
          <w:rFonts w:ascii="Calibri" w:hAnsi="Calibri"/>
          <w:b w:val="0"/>
          <w:sz w:val="20"/>
        </w:rPr>
        <w:t>Evaluación formativa, sin ponderación sobre la nota final. El propósito es identificar qué está listo y qué debo ajustar antes de la evaluación sumativa de la Semana 4 (31 de agosto – 5 de septiembre).</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01"/>
        <w:gridCol w:w="2601"/>
        <w:gridCol w:w="2601"/>
        <w:gridCol w:w="2601"/>
        <w:gridCol w:w="2601"/>
      </w:tblGrid>
      <w:tr>
        <w:tc>
          <w:tcPr>
            <w:tcW w:type="dxa" w:w="2601"/>
            <w:shd w:val="clear" w:color="auto" w:fill="D9D9D9"/>
          </w:tcPr>
          <w:p>
            <w:r>
              <w:rPr>
                <w:rFonts w:ascii="Calibri" w:hAnsi="Calibri"/>
                <w:b/>
                <w:sz w:val="18"/>
              </w:rPr>
              <w:t>Indicador de evaluación</w:t>
            </w:r>
          </w:p>
        </w:tc>
        <w:tc>
          <w:tcPr>
            <w:tcW w:type="dxa" w:w="2601"/>
            <w:shd w:val="clear" w:color="auto" w:fill="D9D9D9"/>
          </w:tcPr>
          <w:p>
            <w:r>
              <w:rPr>
                <w:rFonts w:ascii="Calibri" w:hAnsi="Calibri"/>
                <w:b/>
                <w:sz w:val="18"/>
              </w:rPr>
              <w:t>Nivel autoevaluado</w:t>
            </w:r>
          </w:p>
        </w:tc>
        <w:tc>
          <w:tcPr>
            <w:tcW w:type="dxa" w:w="2601"/>
            <w:shd w:val="clear" w:color="auto" w:fill="D9D9D9"/>
          </w:tcPr>
          <w:p>
            <w:r>
              <w:rPr>
                <w:rFonts w:ascii="Calibri" w:hAnsi="Calibri"/>
                <w:b/>
                <w:sz w:val="18"/>
              </w:rPr>
              <w:t>Ponderación</w:t>
            </w:r>
          </w:p>
        </w:tc>
        <w:tc>
          <w:tcPr>
            <w:tcW w:type="dxa" w:w="2601"/>
            <w:shd w:val="clear" w:color="auto" w:fill="D9D9D9"/>
          </w:tcPr>
          <w:p>
            <w:r>
              <w:rPr>
                <w:rFonts w:ascii="Calibri" w:hAnsi="Calibri"/>
                <w:b/>
                <w:sz w:val="18"/>
              </w:rPr>
              <w:t>Puntaje</w:t>
            </w:r>
          </w:p>
        </w:tc>
        <w:tc>
          <w:tcPr>
            <w:tcW w:type="dxa" w:w="2601"/>
            <w:shd w:val="clear" w:color="auto" w:fill="D9D9D9"/>
          </w:tcPr>
          <w:p>
            <w:r>
              <w:rPr>
                <w:rFonts w:ascii="Calibri" w:hAnsi="Calibri"/>
                <w:b/>
                <w:sz w:val="18"/>
              </w:rPr>
              <w:t>Justificación de la autoevaluación</w:t>
            </w:r>
          </w:p>
        </w:tc>
      </w:tr>
      <w:tr>
        <w:tc>
          <w:tcPr>
            <w:tcW w:type="dxa" w:w="2601"/>
          </w:tcPr>
          <w:p>
            <w:r>
              <w:rPr>
                <w:rFonts w:ascii="Calibri" w:hAnsi="Calibri"/>
                <w:b w:val="0"/>
                <w:sz w:val="18"/>
              </w:rPr>
              <w:t>1. Describe brevemente en qué consiste el Proyecto APT y justifica su relevancia.</w:t>
            </w:r>
          </w:p>
        </w:tc>
        <w:tc>
          <w:tcPr>
            <w:tcW w:type="dxa" w:w="2601"/>
          </w:tcPr>
          <w:p>
            <w:pPr>
              <w:jc w:val="center"/>
            </w:pPr>
            <w:r>
              <w:rPr>
                <w:rFonts w:ascii="Calibri" w:hAnsi="Calibri"/>
                <w:b/>
                <w:sz w:val="18"/>
              </w:rPr>
              <w:t>Completamente logrado</w:t>
            </w:r>
          </w:p>
        </w:tc>
        <w:tc>
          <w:tcPr>
            <w:tcW w:type="dxa" w:w="2601"/>
          </w:tcPr>
          <w:p>
            <w:pPr>
              <w:jc w:val="center"/>
            </w:pPr>
            <w:r>
              <w:rPr>
                <w:rFonts w:ascii="Calibri" w:hAnsi="Calibri"/>
                <w:b w:val="0"/>
                <w:sz w:val="18"/>
              </w:rPr>
              <w:t>5</w:t>
            </w:r>
          </w:p>
        </w:tc>
        <w:tc>
          <w:tcPr>
            <w:tcW w:type="dxa" w:w="2601"/>
          </w:tcPr>
          <w:p>
            <w:pPr>
              <w:jc w:val="center"/>
            </w:pPr>
            <w:r>
              <w:rPr>
                <w:rFonts w:ascii="Calibri" w:hAnsi="Calibri"/>
                <w:b w:val="0"/>
                <w:sz w:val="18"/>
              </w:rPr>
              <w:t>5</w:t>
            </w:r>
          </w:p>
        </w:tc>
        <w:tc>
          <w:tcPr>
            <w:tcW w:type="dxa" w:w="2601"/>
          </w:tcPr>
          <w:p>
            <w:r>
              <w:rPr>
                <w:rFonts w:ascii="Calibri" w:hAnsi="Calibri"/>
                <w:b w:val="0"/>
                <w:sz w:val="18"/>
              </w:rPr>
              <w:t>El documento describe el sistema y cuantifica la relevancia: accidentabilidad en construcción, multas de 1 a 150 UTM y respaldo para auditorías ISO 45001.</w:t>
            </w:r>
          </w:p>
        </w:tc>
      </w:tr>
      <w:tr>
        <w:tc>
          <w:tcPr>
            <w:tcW w:type="dxa" w:w="2601"/>
          </w:tcPr>
          <w:p>
            <w:r>
              <w:rPr>
                <w:rFonts w:ascii="Calibri" w:hAnsi="Calibri"/>
                <w:b w:val="0"/>
                <w:sz w:val="18"/>
              </w:rPr>
              <w:t>2. Relaciona el Proyecto APT con las competencias del perfil de egreso.</w:t>
            </w:r>
          </w:p>
        </w:tc>
        <w:tc>
          <w:tcPr>
            <w:tcW w:type="dxa" w:w="2601"/>
          </w:tcPr>
          <w:p>
            <w:pPr>
              <w:jc w:val="center"/>
            </w:pPr>
            <w:r>
              <w:rPr>
                <w:rFonts w:ascii="Calibri" w:hAnsi="Calibri"/>
                <w:b/>
                <w:sz w:val="18"/>
              </w:rPr>
              <w:t>Completamente logrado</w:t>
            </w:r>
          </w:p>
        </w:tc>
        <w:tc>
          <w:tcPr>
            <w:tcW w:type="dxa" w:w="2601"/>
          </w:tcPr>
          <w:p>
            <w:pPr>
              <w:jc w:val="center"/>
            </w:pPr>
            <w:r>
              <w:rPr>
                <w:rFonts w:ascii="Calibri" w:hAnsi="Calibri"/>
                <w:b w:val="0"/>
                <w:sz w:val="18"/>
              </w:rPr>
              <w:t>5</w:t>
            </w:r>
          </w:p>
        </w:tc>
        <w:tc>
          <w:tcPr>
            <w:tcW w:type="dxa" w:w="2601"/>
          </w:tcPr>
          <w:p>
            <w:pPr>
              <w:jc w:val="center"/>
            </w:pPr>
            <w:r>
              <w:rPr>
                <w:rFonts w:ascii="Calibri" w:hAnsi="Calibri"/>
                <w:b w:val="0"/>
                <w:sz w:val="18"/>
              </w:rPr>
              <w:t>5</w:t>
            </w:r>
          </w:p>
        </w:tc>
        <w:tc>
          <w:tcPr>
            <w:tcW w:type="dxa" w:w="2601"/>
          </w:tcPr>
          <w:p>
            <w:r>
              <w:rPr>
                <w:rFonts w:ascii="Calibri" w:hAnsi="Calibri"/>
                <w:b w:val="0"/>
                <w:sz w:val="18"/>
              </w:rPr>
              <w:t>Hay una tabla que mapea las cuatro competencias del perfil con sus indicadores de calidad y el componente del proyecto que las cubre.</w:t>
            </w:r>
          </w:p>
        </w:tc>
      </w:tr>
      <w:tr>
        <w:tc>
          <w:tcPr>
            <w:tcW w:type="dxa" w:w="2601"/>
          </w:tcPr>
          <w:p>
            <w:r>
              <w:rPr>
                <w:rFonts w:ascii="Calibri" w:hAnsi="Calibri"/>
                <w:b w:val="0"/>
                <w:sz w:val="18"/>
              </w:rPr>
              <w:t>3. Relaciona el Proyecto APT con sus intereses profesionales.</w:t>
            </w:r>
          </w:p>
        </w:tc>
        <w:tc>
          <w:tcPr>
            <w:tcW w:type="dxa" w:w="2601"/>
          </w:tcPr>
          <w:p>
            <w:pPr>
              <w:jc w:val="center"/>
            </w:pPr>
            <w:r>
              <w:rPr>
                <w:rFonts w:ascii="Calibri" w:hAnsi="Calibri"/>
                <w:b/>
                <w:sz w:val="18"/>
              </w:rPr>
              <w:t>Completamente logrado</w:t>
            </w:r>
          </w:p>
        </w:tc>
        <w:tc>
          <w:tcPr>
            <w:tcW w:type="dxa" w:w="2601"/>
          </w:tcPr>
          <w:p>
            <w:pPr>
              <w:jc w:val="center"/>
            </w:pPr>
            <w:r>
              <w:rPr>
                <w:rFonts w:ascii="Calibri" w:hAnsi="Calibri"/>
                <w:b w:val="0"/>
                <w:sz w:val="18"/>
              </w:rPr>
              <w:t>5</w:t>
            </w:r>
          </w:p>
        </w:tc>
        <w:tc>
          <w:tcPr>
            <w:tcW w:type="dxa" w:w="2601"/>
          </w:tcPr>
          <w:p>
            <w:pPr>
              <w:jc w:val="center"/>
            </w:pPr>
            <w:r>
              <w:rPr>
                <w:rFonts w:ascii="Calibri" w:hAnsi="Calibri"/>
                <w:b w:val="0"/>
                <w:sz w:val="18"/>
              </w:rPr>
              <w:t>5</w:t>
            </w:r>
          </w:p>
        </w:tc>
        <w:tc>
          <w:tcPr>
            <w:tcW w:type="dxa" w:w="2601"/>
          </w:tcPr>
          <w:p>
            <w:r>
              <w:rPr>
                <w:rFonts w:ascii="Calibri" w:hAnsi="Calibri"/>
                <w:b w:val="0"/>
                <w:sz w:val="18"/>
              </w:rPr>
              <w:t>Mis intereses (desarrollo backend y de datos, visión computacional aplicada a problemas operativos) están explicitados y conectados con componentes concretos del proyecto.</w:t>
            </w:r>
          </w:p>
        </w:tc>
      </w:tr>
      <w:tr>
        <w:tc>
          <w:tcPr>
            <w:tcW w:type="dxa" w:w="2601"/>
          </w:tcPr>
          <w:p>
            <w:r>
              <w:rPr>
                <w:rFonts w:ascii="Calibri" w:hAnsi="Calibri"/>
                <w:b w:val="0"/>
                <w:sz w:val="18"/>
              </w:rPr>
              <w:t>4. Argumenta la factibilidad dentro del marco de la asignatura.</w:t>
            </w:r>
          </w:p>
        </w:tc>
        <w:tc>
          <w:tcPr>
            <w:tcW w:type="dxa" w:w="2601"/>
          </w:tcPr>
          <w:p>
            <w:pPr>
              <w:jc w:val="center"/>
            </w:pPr>
            <w:r>
              <w:rPr>
                <w:rFonts w:ascii="Calibri" w:hAnsi="Calibri"/>
                <w:b/>
                <w:sz w:val="18"/>
              </w:rPr>
              <w:t>Completamente logrado</w:t>
            </w:r>
          </w:p>
        </w:tc>
        <w:tc>
          <w:tcPr>
            <w:tcW w:type="dxa" w:w="2601"/>
          </w:tcPr>
          <w:p>
            <w:pPr>
              <w:jc w:val="center"/>
            </w:pPr>
            <w:r>
              <w:rPr>
                <w:rFonts w:ascii="Calibri" w:hAnsi="Calibri"/>
                <w:b w:val="0"/>
                <w:sz w:val="18"/>
              </w:rPr>
              <w:t>5</w:t>
            </w:r>
          </w:p>
        </w:tc>
        <w:tc>
          <w:tcPr>
            <w:tcW w:type="dxa" w:w="2601"/>
          </w:tcPr>
          <w:p>
            <w:pPr>
              <w:jc w:val="center"/>
            </w:pPr>
            <w:r>
              <w:rPr>
                <w:rFonts w:ascii="Calibri" w:hAnsi="Calibri"/>
                <w:b w:val="0"/>
                <w:sz w:val="18"/>
              </w:rPr>
              <w:t>5</w:t>
            </w:r>
          </w:p>
        </w:tc>
        <w:tc>
          <w:tcPr>
            <w:tcW w:type="dxa" w:w="2601"/>
          </w:tcPr>
          <w:p>
            <w:r>
              <w:rPr>
                <w:rFonts w:ascii="Calibri" w:hAnsi="Calibri"/>
                <w:b w:val="0"/>
                <w:sz w:val="18"/>
              </w:rPr>
              <w:t>El argumento se apoya en un prototipo ya funcional, arquitectura definida y un alcance de 18 semanas centrado en integrar componentes probados. Las dificultades previstas tienen mitigación declarada.</w:t>
            </w:r>
          </w:p>
        </w:tc>
      </w:tr>
      <w:tr>
        <w:tc>
          <w:tcPr>
            <w:tcW w:type="dxa" w:w="2601"/>
          </w:tcPr>
          <w:p>
            <w:r>
              <w:rPr>
                <w:rFonts w:ascii="Calibri" w:hAnsi="Calibri"/>
                <w:b w:val="0"/>
                <w:sz w:val="18"/>
              </w:rPr>
              <w:t>5. Formula objetivos claros, concisos y coherentes con la disciplina.</w:t>
            </w:r>
          </w:p>
        </w:tc>
        <w:tc>
          <w:tcPr>
            <w:tcW w:type="dxa" w:w="2601"/>
          </w:tcPr>
          <w:p>
            <w:pPr>
              <w:jc w:val="center"/>
            </w:pPr>
            <w:r>
              <w:rPr>
                <w:rFonts w:ascii="Calibri" w:hAnsi="Calibri"/>
                <w:b/>
                <w:sz w:val="18"/>
              </w:rPr>
              <w:t>Completamente logrado</w:t>
            </w:r>
          </w:p>
        </w:tc>
        <w:tc>
          <w:tcPr>
            <w:tcW w:type="dxa" w:w="2601"/>
          </w:tcPr>
          <w:p>
            <w:pPr>
              <w:jc w:val="center"/>
            </w:pPr>
            <w:r>
              <w:rPr>
                <w:rFonts w:ascii="Calibri" w:hAnsi="Calibri"/>
                <w:b w:val="0"/>
                <w:sz w:val="18"/>
              </w:rPr>
              <w:t>10</w:t>
            </w:r>
          </w:p>
        </w:tc>
        <w:tc>
          <w:tcPr>
            <w:tcW w:type="dxa" w:w="2601"/>
          </w:tcPr>
          <w:p>
            <w:pPr>
              <w:jc w:val="center"/>
            </w:pPr>
            <w:r>
              <w:rPr>
                <w:rFonts w:ascii="Calibri" w:hAnsi="Calibri"/>
                <w:b w:val="0"/>
                <w:sz w:val="18"/>
              </w:rPr>
              <w:t>10</w:t>
            </w:r>
          </w:p>
        </w:tc>
        <w:tc>
          <w:tcPr>
            <w:tcW w:type="dxa" w:w="2601"/>
          </w:tcPr>
          <w:p>
            <w:r>
              <w:rPr>
                <w:rFonts w:ascii="Calibri" w:hAnsi="Calibri"/>
                <w:b w:val="0"/>
                <w:sz w:val="18"/>
              </w:rPr>
              <w:t>Un objetivo general y siete específicos, redactados en infinitivo y con criterios medibles donde corresponde (mAP ≥ 0,90, latencia &lt; 5 s).</w:t>
            </w:r>
          </w:p>
        </w:tc>
      </w:tr>
      <w:tr>
        <w:tc>
          <w:tcPr>
            <w:tcW w:type="dxa" w:w="2601"/>
          </w:tcPr>
          <w:p>
            <w:r>
              <w:rPr>
                <w:rFonts w:ascii="Calibri" w:hAnsi="Calibri"/>
                <w:b w:val="0"/>
                <w:sz w:val="18"/>
              </w:rPr>
              <w:t>6. Propone una metodología pertinente para alcanzar los objetivos.</w:t>
            </w:r>
          </w:p>
        </w:tc>
        <w:tc>
          <w:tcPr>
            <w:tcW w:type="dxa" w:w="2601"/>
            <w:shd w:val="clear" w:color="auto" w:fill="FDF1DC"/>
          </w:tcPr>
          <w:p>
            <w:pPr>
              <w:jc w:val="center"/>
            </w:pPr>
            <w:r>
              <w:rPr>
                <w:rFonts w:ascii="Calibri" w:hAnsi="Calibri"/>
                <w:b/>
                <w:sz w:val="18"/>
              </w:rPr>
              <w:t>Logrado</w:t>
            </w:r>
          </w:p>
        </w:tc>
        <w:tc>
          <w:tcPr>
            <w:tcW w:type="dxa" w:w="2601"/>
          </w:tcPr>
          <w:p>
            <w:pPr>
              <w:jc w:val="center"/>
            </w:pPr>
            <w:r>
              <w:rPr>
                <w:rFonts w:ascii="Calibri" w:hAnsi="Calibri"/>
                <w:b w:val="0"/>
                <w:sz w:val="18"/>
              </w:rPr>
              <w:t>10</w:t>
            </w:r>
          </w:p>
        </w:tc>
        <w:tc>
          <w:tcPr>
            <w:tcW w:type="dxa" w:w="2601"/>
          </w:tcPr>
          <w:p>
            <w:pPr>
              <w:jc w:val="center"/>
            </w:pPr>
            <w:r>
              <w:rPr>
                <w:rFonts w:ascii="Calibri" w:hAnsi="Calibri"/>
                <w:b w:val="0"/>
                <w:sz w:val="18"/>
              </w:rPr>
              <w:t>6</w:t>
            </w:r>
          </w:p>
        </w:tc>
        <w:tc>
          <w:tcPr>
            <w:tcW w:type="dxa" w:w="2601"/>
          </w:tcPr>
          <w:p>
            <w:r>
              <w:rPr>
                <w:rFonts w:ascii="Calibri" w:hAnsi="Calibri"/>
                <w:b w:val="0"/>
                <w:sz w:val="18"/>
              </w:rPr>
              <w:t>La metodología iterativa incremental con ciclos quincenales está definida, pero los roles del equipo aún figuran como propuesta y no están confirmados. Falta también detallar cómo se cierra cada ciclo (criterio de aceptación del incremento).</w:t>
            </w:r>
          </w:p>
        </w:tc>
      </w:tr>
      <w:tr>
        <w:tc>
          <w:tcPr>
            <w:tcW w:type="dxa" w:w="2601"/>
          </w:tcPr>
          <w:p>
            <w:r>
              <w:rPr>
                <w:rFonts w:ascii="Calibri" w:hAnsi="Calibri"/>
                <w:b w:val="0"/>
                <w:sz w:val="18"/>
              </w:rPr>
              <w:t>7. Establece un plan de trabajo con recursos, duración, facilitadores y obstaculizadores.</w:t>
            </w:r>
          </w:p>
        </w:tc>
        <w:tc>
          <w:tcPr>
            <w:tcW w:type="dxa" w:w="2601"/>
            <w:shd w:val="clear" w:color="auto" w:fill="FDF1DC"/>
          </w:tcPr>
          <w:p>
            <w:pPr>
              <w:jc w:val="center"/>
            </w:pPr>
            <w:r>
              <w:rPr>
                <w:rFonts w:ascii="Calibri" w:hAnsi="Calibri"/>
                <w:b/>
                <w:sz w:val="18"/>
              </w:rPr>
              <w:t>Logrado</w:t>
            </w:r>
          </w:p>
        </w:tc>
        <w:tc>
          <w:tcPr>
            <w:tcW w:type="dxa" w:w="2601"/>
          </w:tcPr>
          <w:p>
            <w:pPr>
              <w:jc w:val="center"/>
            </w:pPr>
            <w:r>
              <w:rPr>
                <w:rFonts w:ascii="Calibri" w:hAnsi="Calibri"/>
                <w:b w:val="0"/>
                <w:sz w:val="18"/>
              </w:rPr>
              <w:t>10</w:t>
            </w:r>
          </w:p>
        </w:tc>
        <w:tc>
          <w:tcPr>
            <w:tcW w:type="dxa" w:w="2601"/>
          </w:tcPr>
          <w:p>
            <w:pPr>
              <w:jc w:val="center"/>
            </w:pPr>
            <w:r>
              <w:rPr>
                <w:rFonts w:ascii="Calibri" w:hAnsi="Calibri"/>
                <w:b w:val="0"/>
                <w:sz w:val="18"/>
              </w:rPr>
              <w:t>6</w:t>
            </w:r>
          </w:p>
        </w:tc>
        <w:tc>
          <w:tcPr>
            <w:tcW w:type="dxa" w:w="2601"/>
          </w:tcPr>
          <w:p>
            <w:r>
              <w:rPr>
                <w:rFonts w:ascii="Calibri" w:hAnsi="Calibri"/>
                <w:b w:val="0"/>
                <w:sz w:val="18"/>
              </w:rPr>
              <w:t>Existe el desglose semana a semana por paquete de la EDT y la matriz de riesgos, pero no he itemizado los recursos (hardware del dispositivo de alerta, acceso a GPU, cámara IP de prueba) en la tabla del plan de trabajo que pide la guía.</w:t>
            </w:r>
          </w:p>
        </w:tc>
      </w:tr>
      <w:tr>
        <w:tc>
          <w:tcPr>
            <w:tcW w:type="dxa" w:w="2601"/>
          </w:tcPr>
          <w:p>
            <w:r>
              <w:rPr>
                <w:rFonts w:ascii="Calibri" w:hAnsi="Calibri"/>
                <w:b w:val="0"/>
                <w:sz w:val="18"/>
              </w:rPr>
              <w:t>8. Determina evidencias y justifica cómo dan cuenta del logro de las actividades.</w:t>
            </w:r>
          </w:p>
        </w:tc>
        <w:tc>
          <w:tcPr>
            <w:tcW w:type="dxa" w:w="2601"/>
            <w:shd w:val="clear" w:color="auto" w:fill="FDF1DC"/>
          </w:tcPr>
          <w:p>
            <w:pPr>
              <w:jc w:val="center"/>
            </w:pPr>
            <w:r>
              <w:rPr>
                <w:rFonts w:ascii="Calibri" w:hAnsi="Calibri"/>
                <w:b/>
                <w:sz w:val="18"/>
              </w:rPr>
              <w:t>Logrado</w:t>
            </w:r>
          </w:p>
        </w:tc>
        <w:tc>
          <w:tcPr>
            <w:tcW w:type="dxa" w:w="2601"/>
          </w:tcPr>
          <w:p>
            <w:pPr>
              <w:jc w:val="center"/>
            </w:pPr>
            <w:r>
              <w:rPr>
                <w:rFonts w:ascii="Calibri" w:hAnsi="Calibri"/>
                <w:b w:val="0"/>
                <w:sz w:val="18"/>
              </w:rPr>
              <w:t>10</w:t>
            </w:r>
          </w:p>
        </w:tc>
        <w:tc>
          <w:tcPr>
            <w:tcW w:type="dxa" w:w="2601"/>
          </w:tcPr>
          <w:p>
            <w:pPr>
              <w:jc w:val="center"/>
            </w:pPr>
            <w:r>
              <w:rPr>
                <w:rFonts w:ascii="Calibri" w:hAnsi="Calibri"/>
                <w:b w:val="0"/>
                <w:sz w:val="18"/>
              </w:rPr>
              <w:t>6</w:t>
            </w:r>
          </w:p>
        </w:tc>
        <w:tc>
          <w:tcPr>
            <w:tcW w:type="dxa" w:w="2601"/>
          </w:tcPr>
          <w:p>
            <w:r>
              <w:rPr>
                <w:rFonts w:ascii="Calibri" w:hAnsi="Calibri"/>
                <w:b w:val="0"/>
                <w:sz w:val="18"/>
              </w:rPr>
              <w:t>La tabla de evidencias por fase está redactada con su justificación, pero todavía no ha sido acordada con el docente, que es lo que la guía exige explícitamente.</w:t>
            </w:r>
          </w:p>
        </w:tc>
      </w:tr>
      <w:tr>
        <w:tc>
          <w:tcPr>
            <w:tcW w:type="dxa" w:w="2601"/>
          </w:tcPr>
          <w:p>
            <w:r>
              <w:rPr>
                <w:rFonts w:ascii="Calibri" w:hAnsi="Calibri"/>
                <w:b w:val="0"/>
                <w:sz w:val="18"/>
              </w:rPr>
              <w:t>9. Utiliza reglas de redacción, ortografía y normas de citas y referencias.</w:t>
            </w:r>
          </w:p>
        </w:tc>
        <w:tc>
          <w:tcPr>
            <w:tcW w:type="dxa" w:w="2601"/>
            <w:shd w:val="clear" w:color="auto" w:fill="FDF1DC"/>
          </w:tcPr>
          <w:p>
            <w:pPr>
              <w:jc w:val="center"/>
            </w:pPr>
            <w:r>
              <w:rPr>
                <w:rFonts w:ascii="Calibri" w:hAnsi="Calibri"/>
                <w:b/>
                <w:sz w:val="18"/>
              </w:rPr>
              <w:t>Logrado</w:t>
            </w:r>
          </w:p>
        </w:tc>
        <w:tc>
          <w:tcPr>
            <w:tcW w:type="dxa" w:w="2601"/>
          </w:tcPr>
          <w:p>
            <w:pPr>
              <w:jc w:val="center"/>
            </w:pPr>
            <w:r>
              <w:rPr>
                <w:rFonts w:ascii="Calibri" w:hAnsi="Calibri"/>
                <w:b w:val="0"/>
                <w:sz w:val="18"/>
              </w:rPr>
              <w:t>5</w:t>
            </w:r>
          </w:p>
        </w:tc>
        <w:tc>
          <w:tcPr>
            <w:tcW w:type="dxa" w:w="2601"/>
          </w:tcPr>
          <w:p>
            <w:pPr>
              <w:jc w:val="center"/>
            </w:pPr>
            <w:r>
              <w:rPr>
                <w:rFonts w:ascii="Calibri" w:hAnsi="Calibri"/>
                <w:b w:val="0"/>
                <w:sz w:val="18"/>
              </w:rPr>
              <w:t>3</w:t>
            </w:r>
          </w:p>
        </w:tc>
        <w:tc>
          <w:tcPr>
            <w:tcW w:type="dxa" w:w="2601"/>
          </w:tcPr>
          <w:p>
            <w:r>
              <w:rPr>
                <w:rFonts w:ascii="Calibri" w:hAnsi="Calibri"/>
                <w:b w:val="0"/>
                <w:sz w:val="18"/>
              </w:rPr>
              <w:t>La redacción y la ortografía están cuidadas, pero el documento aún no incorpora referencias formateadas según norma (SUSESO, Dirección del Trabajo, ISO 45001, Ultralytics). Cito datos sin referenciar la fuente.</w:t>
            </w:r>
          </w:p>
        </w:tc>
      </w:tr>
      <w:tr>
        <w:tc>
          <w:tcPr>
            <w:tcW w:type="dxa" w:w="2601"/>
          </w:tcPr>
          <w:p>
            <w:r>
              <w:rPr>
                <w:rFonts w:ascii="Calibri" w:hAnsi="Calibri"/>
                <w:b w:val="0"/>
                <w:sz w:val="18"/>
              </w:rPr>
              <w:t>10. Cumple con el formato del informe establecido por la disciplina.</w:t>
            </w:r>
          </w:p>
        </w:tc>
        <w:tc>
          <w:tcPr>
            <w:tcW w:type="dxa" w:w="2601"/>
            <w:shd w:val="clear" w:color="auto" w:fill="FDF1DC"/>
          </w:tcPr>
          <w:p>
            <w:pPr>
              <w:jc w:val="center"/>
            </w:pPr>
            <w:r>
              <w:rPr>
                <w:rFonts w:ascii="Calibri" w:hAnsi="Calibri"/>
                <w:b/>
                <w:sz w:val="18"/>
              </w:rPr>
              <w:t>Logrado</w:t>
            </w:r>
          </w:p>
        </w:tc>
        <w:tc>
          <w:tcPr>
            <w:tcW w:type="dxa" w:w="2601"/>
          </w:tcPr>
          <w:p>
            <w:pPr>
              <w:jc w:val="center"/>
            </w:pPr>
            <w:r>
              <w:rPr>
                <w:rFonts w:ascii="Calibri" w:hAnsi="Calibri"/>
                <w:b w:val="0"/>
                <w:sz w:val="18"/>
              </w:rPr>
              <w:t>5</w:t>
            </w:r>
          </w:p>
        </w:tc>
        <w:tc>
          <w:tcPr>
            <w:tcW w:type="dxa" w:w="2601"/>
          </w:tcPr>
          <w:p>
            <w:pPr>
              <w:jc w:val="center"/>
            </w:pPr>
            <w:r>
              <w:rPr>
                <w:rFonts w:ascii="Calibri" w:hAnsi="Calibri"/>
                <w:b w:val="0"/>
                <w:sz w:val="18"/>
              </w:rPr>
              <w:t>3</w:t>
            </w:r>
          </w:p>
        </w:tc>
        <w:tc>
          <w:tcPr>
            <w:tcW w:type="dxa" w:w="2601"/>
          </w:tcPr>
          <w:p>
            <w:r>
              <w:rPr>
                <w:rFonts w:ascii="Calibri" w:hAnsi="Calibri"/>
                <w:b w:val="0"/>
                <w:sz w:val="18"/>
              </w:rPr>
              <w:t>Falta armar el informe técnico con la estructura completa exigida: portada, índice, abstract, desarrollo de ingeniería, conclusiones y reflexiones, con numeración de páginas.</w:t>
            </w:r>
          </w:p>
        </w:tc>
      </w:tr>
      <w:tr>
        <w:tc>
          <w:tcPr>
            <w:tcW w:type="dxa" w:w="2601"/>
          </w:tcPr>
          <w:p>
            <w:r>
              <w:rPr>
                <w:rFonts w:ascii="Calibri" w:hAnsi="Calibri"/>
                <w:b w:val="0"/>
                <w:sz w:val="18"/>
              </w:rPr>
              <w:t>11. Cumple con los indicadores de calidad disciplinarios del perfil de egreso.</w:t>
            </w:r>
          </w:p>
        </w:tc>
        <w:tc>
          <w:tcPr>
            <w:tcW w:type="dxa" w:w="2601"/>
            <w:shd w:val="clear" w:color="auto" w:fill="FDF1DC"/>
          </w:tcPr>
          <w:p>
            <w:pPr>
              <w:jc w:val="center"/>
            </w:pPr>
            <w:r>
              <w:rPr>
                <w:rFonts w:ascii="Calibri" w:hAnsi="Calibri"/>
                <w:b/>
                <w:sz w:val="18"/>
              </w:rPr>
              <w:t>Logrado</w:t>
            </w:r>
          </w:p>
        </w:tc>
        <w:tc>
          <w:tcPr>
            <w:tcW w:type="dxa" w:w="2601"/>
          </w:tcPr>
          <w:p>
            <w:pPr>
              <w:jc w:val="center"/>
            </w:pPr>
            <w:r>
              <w:rPr>
                <w:rFonts w:ascii="Calibri" w:hAnsi="Calibri"/>
                <w:b w:val="0"/>
                <w:sz w:val="18"/>
              </w:rPr>
              <w:t>20</w:t>
            </w:r>
          </w:p>
        </w:tc>
        <w:tc>
          <w:tcPr>
            <w:tcW w:type="dxa" w:w="2601"/>
          </w:tcPr>
          <w:p>
            <w:pPr>
              <w:jc w:val="center"/>
            </w:pPr>
            <w:r>
              <w:rPr>
                <w:rFonts w:ascii="Calibri" w:hAnsi="Calibri"/>
                <w:b w:val="0"/>
                <w:sz w:val="18"/>
              </w:rPr>
              <w:t>12</w:t>
            </w:r>
          </w:p>
        </w:tc>
        <w:tc>
          <w:tcPr>
            <w:tcW w:type="dxa" w:w="2601"/>
          </w:tcPr>
          <w:p>
            <w:r>
              <w:rPr>
                <w:rFonts w:ascii="Calibri" w:hAnsi="Calibri"/>
                <w:b w:val="0"/>
                <w:sz w:val="18"/>
              </w:rPr>
              <w:t>De los diez indicadores de calidad, los de desarrollo de software y gestión de proyectos están evidenciados. Los de pruebas de validación (1.1, 1.2, 1.3) y los de implementación del modelo de datos (3.2) están planificados pero aún sin evidencia, porque corresponden a la Fase 2.</w:t>
            </w:r>
          </w:p>
        </w:tc>
      </w:tr>
      <w:tr>
        <w:tc>
          <w:tcPr>
            <w:tcW w:type="dxa" w:w="2601"/>
          </w:tcPr>
          <w:p>
            <w:r>
              <w:rPr>
                <w:rFonts w:ascii="Calibri" w:hAnsi="Calibri"/>
                <w:b w:val="0"/>
                <w:sz w:val="18"/>
              </w:rPr>
              <w:t>12. Comunica de forma escrita en inglés a nivel intermedio alto.</w:t>
            </w:r>
          </w:p>
        </w:tc>
        <w:tc>
          <w:tcPr>
            <w:tcW w:type="dxa" w:w="2601"/>
            <w:shd w:val="clear" w:color="auto" w:fill="FADBD8"/>
          </w:tcPr>
          <w:p>
            <w:pPr>
              <w:jc w:val="center"/>
            </w:pPr>
            <w:r>
              <w:rPr>
                <w:rFonts w:ascii="Calibri" w:hAnsi="Calibri"/>
                <w:b/>
                <w:sz w:val="18"/>
              </w:rPr>
              <w:t>Logro incipiente</w:t>
            </w:r>
          </w:p>
        </w:tc>
        <w:tc>
          <w:tcPr>
            <w:tcW w:type="dxa" w:w="2601"/>
          </w:tcPr>
          <w:p>
            <w:pPr>
              <w:jc w:val="center"/>
            </w:pPr>
            <w:r>
              <w:rPr>
                <w:rFonts w:ascii="Calibri" w:hAnsi="Calibri"/>
                <w:b w:val="0"/>
                <w:sz w:val="18"/>
              </w:rPr>
              <w:t>10</w:t>
            </w:r>
          </w:p>
        </w:tc>
        <w:tc>
          <w:tcPr>
            <w:tcW w:type="dxa" w:w="2601"/>
          </w:tcPr>
          <w:p>
            <w:pPr>
              <w:jc w:val="center"/>
            </w:pPr>
            <w:r>
              <w:rPr>
                <w:rFonts w:ascii="Calibri" w:hAnsi="Calibri"/>
                <w:b w:val="0"/>
                <w:sz w:val="18"/>
              </w:rPr>
              <w:t>3</w:t>
            </w:r>
          </w:p>
        </w:tc>
        <w:tc>
          <w:tcPr>
            <w:tcW w:type="dxa" w:w="2601"/>
          </w:tcPr>
          <w:p>
            <w:r>
              <w:rPr>
                <w:rFonts w:ascii="Calibri" w:hAnsi="Calibri"/>
                <w:b w:val="0"/>
                <w:sz w:val="18"/>
              </w:rPr>
              <w:t>Es mi brecha más grande en esta fase. Todavía no redacto el abstract bilingüe ni las conclusiones y la reflexión en inglés, que la pauta exige escritas solo en ese idioma.</w:t>
            </w:r>
          </w:p>
        </w:tc>
      </w:tr>
      <w:tr>
        <w:tc>
          <w:tcPr>
            <w:tcW w:type="dxa" w:w="2601"/>
            <w:shd w:val="clear" w:color="auto" w:fill="D9D9D9"/>
          </w:tcPr>
          <w:p>
            <w:r>
              <w:rPr>
                <w:rFonts w:ascii="Calibri" w:hAnsi="Calibri"/>
                <w:b/>
                <w:sz w:val="18"/>
              </w:rPr>
              <w:t>Total</w:t>
            </w:r>
          </w:p>
        </w:tc>
        <w:tc>
          <w:tcPr>
            <w:tcW w:type="dxa" w:w="2601"/>
            <w:shd w:val="clear" w:color="auto" w:fill="D9D9D9"/>
          </w:tcPr>
          <w:p>
            <w:r>
              <w:rPr>
                <w:rFonts w:ascii="Calibri" w:hAnsi="Calibri"/>
                <w:b w:val="0"/>
                <w:sz w:val="18"/>
              </w:rPr>
            </w:r>
          </w:p>
        </w:tc>
        <w:tc>
          <w:tcPr>
            <w:tcW w:type="dxa" w:w="2601"/>
            <w:shd w:val="clear" w:color="auto" w:fill="D9D9D9"/>
          </w:tcPr>
          <w:p>
            <w:pPr>
              <w:jc w:val="center"/>
            </w:pPr>
            <w:r>
              <w:rPr>
                <w:rFonts w:ascii="Calibri" w:hAnsi="Calibri"/>
                <w:b/>
                <w:sz w:val="18"/>
              </w:rPr>
              <w:t>100</w:t>
            </w:r>
          </w:p>
        </w:tc>
        <w:tc>
          <w:tcPr>
            <w:tcW w:type="dxa" w:w="2601"/>
            <w:shd w:val="clear" w:color="auto" w:fill="D9D9D9"/>
          </w:tcPr>
          <w:p>
            <w:pPr>
              <w:jc w:val="center"/>
            </w:pPr>
            <w:r>
              <w:rPr>
                <w:rFonts w:ascii="Calibri" w:hAnsi="Calibri"/>
                <w:b/>
                <w:sz w:val="18"/>
              </w:rPr>
              <w:t>69</w:t>
            </w:r>
          </w:p>
        </w:tc>
        <w:tc>
          <w:tcPr>
            <w:tcW w:type="dxa" w:w="2601"/>
            <w:shd w:val="clear" w:color="auto" w:fill="D9D9D9"/>
          </w:tcPr>
          <w:p>
            <w:r>
              <w:rPr>
                <w:rFonts w:ascii="Calibri" w:hAnsi="Calibri"/>
                <w:b/>
                <w:sz w:val="18"/>
              </w:rPr>
              <w:t>69 de 100 puntos de logro en la autoevaluación formativa.</w:t>
            </w:r>
          </w:p>
        </w:tc>
      </w:tr>
    </w:tbl>
    <w:p>
      <w:pPr>
        <w:spacing w:before="280"/>
      </w:pPr>
      <w:r>
        <w:rPr>
          <w:rFonts w:ascii="Calibri" w:hAnsi="Calibri"/>
          <w:b/>
          <w:sz w:val="24"/>
        </w:rPr>
        <w:t>Lectura del resultado</w:t>
      </w:r>
    </w:p>
    <w:p>
      <w:pPr>
        <w:spacing w:before="120"/>
      </w:pPr>
      <w:r>
        <w:rPr>
          <w:rFonts w:ascii="Calibri" w:hAnsi="Calibri"/>
          <w:b w:val="0"/>
          <w:sz w:val="22"/>
        </w:rPr>
        <w:t>Los cuatro indicadores de fundamentación y el de objetivos están completamente logrados, y eso era esperable: el proyecto viene de dos asignaturas donde ya fue formulado, evaluado económicamente y comparado contra alternativas. Lo que está en deuda no es la idea, es su presentación formal como Proyecto APT.</w:t>
      </w:r>
    </w:p>
    <w:p>
      <w:pPr>
        <w:spacing w:before="120"/>
      </w:pPr>
      <w:r>
        <w:rPr>
          <w:rFonts w:ascii="Calibri" w:hAnsi="Calibri"/>
          <w:b w:val="0"/>
          <w:sz w:val="22"/>
        </w:rPr>
        <w:t>Los siete indicadores restantes caen en «Logrado» o «Logro incipiente» por una razón común: corresponden a trabajo de forma y de cierre que todavía no he ejecutado —referencias, estructura del informe técnico, evidencias acordadas con el docente y los apartados en inglés—. Ninguno depende de resolver un problema técnico; dependen de dedicarles las horas antes de la Semana 4.</w:t>
      </w:r>
    </w:p>
    <w:p>
      <w:pPr>
        <w:spacing w:before="280"/>
      </w:pPr>
      <w:r>
        <w:rPr>
          <w:rFonts w:ascii="Calibri" w:hAnsi="Calibri"/>
          <w:b/>
          <w:sz w:val="24"/>
        </w:rPr>
        <w:t>Ajustes comprometidos antes de la evaluación sumativa (Semana 4)</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35"/>
        <w:gridCol w:w="4335"/>
        <w:gridCol w:w="4335"/>
      </w:tblGrid>
      <w:tr>
        <w:tc>
          <w:tcPr>
            <w:tcW w:type="dxa" w:w="4335"/>
            <w:shd w:val="clear" w:color="auto" w:fill="D9D9D9"/>
          </w:tcPr>
          <w:p>
            <w:r>
              <w:rPr>
                <w:rFonts w:ascii="Calibri" w:hAnsi="Calibri"/>
                <w:b/>
                <w:sz w:val="18"/>
              </w:rPr>
              <w:t>Ajuste</w:t>
            </w:r>
          </w:p>
        </w:tc>
        <w:tc>
          <w:tcPr>
            <w:tcW w:type="dxa" w:w="4335"/>
            <w:shd w:val="clear" w:color="auto" w:fill="D9D9D9"/>
          </w:tcPr>
          <w:p>
            <w:r>
              <w:rPr>
                <w:rFonts w:ascii="Calibri" w:hAnsi="Calibri"/>
                <w:b/>
                <w:sz w:val="18"/>
              </w:rPr>
              <w:t>Indicador que corrige</w:t>
            </w:r>
          </w:p>
        </w:tc>
        <w:tc>
          <w:tcPr>
            <w:tcW w:type="dxa" w:w="4335"/>
            <w:shd w:val="clear" w:color="auto" w:fill="D9D9D9"/>
          </w:tcPr>
          <w:p>
            <w:r>
              <w:rPr>
                <w:rFonts w:ascii="Calibri" w:hAnsi="Calibri"/>
                <w:b/>
                <w:sz w:val="18"/>
              </w:rPr>
              <w:t>En qué consiste</w:t>
            </w:r>
          </w:p>
        </w:tc>
      </w:tr>
      <w:tr>
        <w:tc>
          <w:tcPr>
            <w:tcW w:type="dxa" w:w="4335"/>
          </w:tcPr>
          <w:p>
            <w:r>
              <w:rPr>
                <w:rFonts w:ascii="Calibri" w:hAnsi="Calibri"/>
                <w:b/>
                <w:sz w:val="18"/>
              </w:rPr>
              <w:t>Redactar el abstract bilingüe y los apartados en inglés</w:t>
            </w:r>
          </w:p>
        </w:tc>
        <w:tc>
          <w:tcPr>
            <w:tcW w:type="dxa" w:w="4335"/>
          </w:tcPr>
          <w:p>
            <w:r>
              <w:rPr>
                <w:rFonts w:ascii="Calibri" w:hAnsi="Calibri"/>
                <w:b w:val="0"/>
                <w:sz w:val="18"/>
              </w:rPr>
              <w:t>Indicador 12 · el de mayor brecha</w:t>
            </w:r>
          </w:p>
        </w:tc>
        <w:tc>
          <w:tcPr>
            <w:tcW w:type="dxa" w:w="4335"/>
          </w:tcPr>
          <w:p>
            <w:r>
              <w:rPr>
                <w:rFonts w:ascii="Calibri" w:hAnsi="Calibri"/>
                <w:b w:val="0"/>
                <w:sz w:val="18"/>
              </w:rPr>
              <w:t>Escribir el abstract en español e inglés, y las conclusiones individuales y la reflexión solo en inglés, revisando el nivel exigido (intermedio alto). Es lo primero de la lista porque es lo que más lejos está del nivel requerido.</w:t>
            </w:r>
          </w:p>
        </w:tc>
      </w:tr>
      <w:tr>
        <w:tc>
          <w:tcPr>
            <w:tcW w:type="dxa" w:w="4335"/>
          </w:tcPr>
          <w:p>
            <w:r>
              <w:rPr>
                <w:rFonts w:ascii="Calibri" w:hAnsi="Calibri"/>
                <w:b/>
                <w:sz w:val="18"/>
              </w:rPr>
              <w:t>Armar el informe técnico con el formato de la escuela</w:t>
            </w:r>
          </w:p>
        </w:tc>
        <w:tc>
          <w:tcPr>
            <w:tcW w:type="dxa" w:w="4335"/>
          </w:tcPr>
          <w:p>
            <w:r>
              <w:rPr>
                <w:rFonts w:ascii="Calibri" w:hAnsi="Calibri"/>
                <w:b w:val="0"/>
                <w:sz w:val="18"/>
              </w:rPr>
              <w:t>Indicadores 9 y 10</w:t>
            </w:r>
          </w:p>
        </w:tc>
        <w:tc>
          <w:tcPr>
            <w:tcW w:type="dxa" w:w="4335"/>
          </w:tcPr>
          <w:p>
            <w:r>
              <w:rPr>
                <w:rFonts w:ascii="Calibri" w:hAnsi="Calibri"/>
                <w:b w:val="0"/>
                <w:sz w:val="18"/>
              </w:rPr>
              <w:t>Portada, índice, abstract, desarrollo de ingeniería, conclusiones y reflexiones, con numeración de páginas, tipografía y interlineado según la pauta. Incorporar la bibliografía con norma de citación para los datos de SUSESO, Dirección del Trabajo e ISO 45001.</w:t>
            </w:r>
          </w:p>
        </w:tc>
      </w:tr>
      <w:tr>
        <w:tc>
          <w:tcPr>
            <w:tcW w:type="dxa" w:w="4335"/>
          </w:tcPr>
          <w:p>
            <w:r>
              <w:rPr>
                <w:rFonts w:ascii="Calibri" w:hAnsi="Calibri"/>
                <w:b/>
                <w:sz w:val="18"/>
              </w:rPr>
              <w:t>Completar la tabla de recursos del plan de trabajo</w:t>
            </w:r>
          </w:p>
        </w:tc>
        <w:tc>
          <w:tcPr>
            <w:tcW w:type="dxa" w:w="4335"/>
          </w:tcPr>
          <w:p>
            <w:r>
              <w:rPr>
                <w:rFonts w:ascii="Calibri" w:hAnsi="Calibri"/>
                <w:b w:val="0"/>
                <w:sz w:val="18"/>
              </w:rPr>
              <w:t>Indicador 7</w:t>
            </w:r>
          </w:p>
        </w:tc>
        <w:tc>
          <w:tcPr>
            <w:tcW w:type="dxa" w:w="4335"/>
          </w:tcPr>
          <w:p>
            <w:r>
              <w:rPr>
                <w:rFonts w:ascii="Calibri" w:hAnsi="Calibri"/>
                <w:b w:val="0"/>
                <w:sz w:val="18"/>
              </w:rPr>
              <w:t>Itemizar por actividad: acceso a GPU para entrenamiento, cámara IP o emisor RTSP para pruebas, hardware del dispositivo de alerta, licencias y servicios (Twilio, SMTP). Declarar el facilitador y el obstaculizador de cada actividad.</w:t>
            </w:r>
          </w:p>
        </w:tc>
      </w:tr>
      <w:tr>
        <w:tc>
          <w:tcPr>
            <w:tcW w:type="dxa" w:w="4335"/>
          </w:tcPr>
          <w:p>
            <w:r>
              <w:rPr>
                <w:rFonts w:ascii="Calibri" w:hAnsi="Calibri"/>
                <w:b/>
                <w:sz w:val="18"/>
              </w:rPr>
              <w:t>Acordar las evidencias con el docente</w:t>
            </w:r>
          </w:p>
        </w:tc>
        <w:tc>
          <w:tcPr>
            <w:tcW w:type="dxa" w:w="4335"/>
          </w:tcPr>
          <w:p>
            <w:r>
              <w:rPr>
                <w:rFonts w:ascii="Calibri" w:hAnsi="Calibri"/>
                <w:b w:val="0"/>
                <w:sz w:val="18"/>
              </w:rPr>
              <w:t>Indicador 8</w:t>
            </w:r>
          </w:p>
        </w:tc>
        <w:tc>
          <w:tcPr>
            <w:tcW w:type="dxa" w:w="4335"/>
          </w:tcPr>
          <w:p>
            <w:r>
              <w:rPr>
                <w:rFonts w:ascii="Calibri" w:hAnsi="Calibri"/>
                <w:b w:val="0"/>
                <w:sz w:val="18"/>
              </w:rPr>
              <w:t>Presentar la tabla de evidencias por fase en la asesoría de la Semana 3 y dejar registro del acuerdo. Sin ese acuerdo el indicador no puede quedar completamente logrado.</w:t>
            </w:r>
          </w:p>
        </w:tc>
      </w:tr>
      <w:tr>
        <w:tc>
          <w:tcPr>
            <w:tcW w:type="dxa" w:w="4335"/>
          </w:tcPr>
          <w:p>
            <w:r>
              <w:rPr>
                <w:rFonts w:ascii="Calibri" w:hAnsi="Calibri"/>
                <w:b/>
                <w:sz w:val="18"/>
              </w:rPr>
              <w:t>Confirmar roles y cierre de ciclo de la metodología</w:t>
            </w:r>
          </w:p>
        </w:tc>
        <w:tc>
          <w:tcPr>
            <w:tcW w:type="dxa" w:w="4335"/>
          </w:tcPr>
          <w:p>
            <w:r>
              <w:rPr>
                <w:rFonts w:ascii="Calibri" w:hAnsi="Calibri"/>
                <w:b w:val="0"/>
                <w:sz w:val="18"/>
              </w:rPr>
              <w:t>Indicador 6</w:t>
            </w:r>
          </w:p>
        </w:tc>
        <w:tc>
          <w:tcPr>
            <w:tcW w:type="dxa" w:w="4335"/>
          </w:tcPr>
          <w:p>
            <w:r>
              <w:rPr>
                <w:rFonts w:ascii="Calibri" w:hAnsi="Calibri"/>
                <w:b w:val="0"/>
                <w:sz w:val="18"/>
              </w:rPr>
              <w:t>Validar con Joaquín, Benjamín y Fernando la asignación de paquetes de la EDT y definir el criterio de aceptación con el que se cierra cada ciclo quincenal.</w:t>
            </w:r>
          </w:p>
        </w:tc>
      </w:tr>
      <w:tr>
        <w:tc>
          <w:tcPr>
            <w:tcW w:type="dxa" w:w="4335"/>
          </w:tcPr>
          <w:p>
            <w:r>
              <w:rPr>
                <w:rFonts w:ascii="Calibri" w:hAnsi="Calibri"/>
                <w:b/>
                <w:sz w:val="18"/>
              </w:rPr>
              <w:t>Preparar la presentación grupal</w:t>
            </w:r>
          </w:p>
        </w:tc>
        <w:tc>
          <w:tcPr>
            <w:tcW w:type="dxa" w:w="4335"/>
          </w:tcPr>
          <w:p>
            <w:r>
              <w:rPr>
                <w:rFonts w:ascii="Calibri" w:hAnsi="Calibri"/>
                <w:b w:val="0"/>
                <w:sz w:val="18"/>
              </w:rPr>
              <w:t>Indicador 11 y evaluación de la Semana 4</w:t>
            </w:r>
          </w:p>
        </w:tc>
        <w:tc>
          <w:tcPr>
            <w:tcW w:type="dxa" w:w="4335"/>
          </w:tcPr>
          <w:p>
            <w:r>
              <w:rPr>
                <w:rFonts w:ascii="Calibri" w:hAnsi="Calibri"/>
                <w:b w:val="0"/>
                <w:sz w:val="18"/>
              </w:rPr>
              <w:t>La presentación del proyecto está vacía. Debe incluir la demostración del prototipo de detección y dejar explícitos los dos puntos a aclarar con el docente: el cambio de equipo respecto de la formulación original y la diferencia entre el horizonte de la evaluación económica (4 meses) y el del Capstone (18 semanas).</w:t>
            </w:r>
          </w:p>
        </w:tc>
      </w:tr>
    </w:tbl>
    <w:p>
      <w:pPr>
        <w:spacing w:before="280"/>
      </w:pPr>
      <w:r>
        <w:rPr>
          <w:rFonts w:ascii="Calibri" w:hAnsi="Calibri"/>
          <w:b/>
          <w:sz w:val="24"/>
        </w:rPr>
        <w:t>Fortalezas y aspectos por mejorar detectados</w:t>
      </w:r>
    </w:p>
    <w:p>
      <w:pPr>
        <w:spacing w:before="120"/>
      </w:pPr>
      <w:r>
        <w:rPr>
          <w:rFonts w:ascii="Calibri" w:hAnsi="Calibri"/>
          <w:b w:val="0"/>
          <w:sz w:val="22"/>
        </w:rPr>
        <w:t>Fortaleza principal: el proyecto tiene una base técnica y económica real detrás. No estoy proponiendo una idea, estoy proponiendo la construcción de algo que ya fue evaluado, con un prototipo de detección funcionando sobre video y un estudio de viabilidad cerrado. Eso sostiene los indicadores de relevancia y factibilidad sin esfuerzo adicional.</w:t>
      </w:r>
    </w:p>
    <w:p>
      <w:pPr>
        <w:spacing w:before="120"/>
      </w:pPr>
      <w:r>
        <w:rPr>
          <w:rFonts w:ascii="Calibri" w:hAnsi="Calibri"/>
          <w:b w:val="0"/>
          <w:sz w:val="22"/>
        </w:rPr>
        <w:t>Aspecto por mejorar principal: la competencia de realizar pruebas de certificación es la que tengo más débil, y es también la que menos evidencia tiene hoy en el proyecto. Por eso incorporé un paquete de trabajo propio de pruebas y validación en la EDT, con criterios medibles, en lugar de dejarlo como una actividad más dentro del desarrollo. La autoevaluación confirma que esa decisión fue correcta y que debe sostenerse en la Fase 2.</w:t>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