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meywb5mtwwnu"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pPr>
        <w:spacing w:after="120"/>
      </w:pPr>
      <w:r>
        <w:rPr>
          <w:rFonts w:ascii="Calibri" w:hAnsi="Calibri" w:cs="Calibri" w:eastAsia="Calibri"/>
          <w:b w:val="0"/>
          <w:i w:val="0"/>
          <w:color w:val="000000"/>
          <w:sz w:val="22"/>
        </w:rPr>
      </w:r>
    </w:p>
    <w:p>
      <w:pPr>
        <w:spacing w:after="40"/>
      </w:pPr>
      <w:r>
        <w:rPr>
          <w:rFonts w:ascii="Calibri" w:hAnsi="Calibri" w:cs="Calibri" w:eastAsia="Calibri"/>
          <w:b/>
          <w:i w:val="0"/>
          <w:color w:val="1F3864"/>
          <w:sz w:val="32"/>
        </w:rPr>
        <w:t>Informe de avance · Proyecto APT</w:t>
      </w:r>
    </w:p>
    <w:p>
      <w:pPr>
        <w:spacing w:after="280"/>
      </w:pPr>
      <w:r>
        <w:rPr>
          <w:rFonts w:ascii="Calibri" w:hAnsi="Calibri" w:cs="Calibri" w:eastAsia="Calibri"/>
          <w:b w:val="0"/>
          <w:i w:val="0"/>
          <w:color w:val="1F3864"/>
          <w:sz w:val="26"/>
        </w:rPr>
        <w:t>CascoVision — Sistema de detección automatizada de EPP mediante visión computacional</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firstColumn="1" w:firstRow="1" w:lastColumn="0" w:lastRow="0" w:noHBand="0" w:noVBand="1" w:val="04A0"/>
      </w:tblPr>
      <w:tblGrid>
        <w:gridCol w:w="2268"/>
        <w:gridCol w:w="6236"/>
      </w:tblGrid>
      <w:tr>
        <w:trPr>
          <w:tblHeader w:val="true"/>
        </w:trPr>
        <w:tc>
          <w:tcPr>
            <w:tcW w:type="dxa" w:w="2268"/>
            <w:shd w:val="clear" w:color="auto" w:fill="1F3864"/>
          </w:tcPr>
          <w:p>
            <w:r>
              <w:rPr>
                <w:rFonts w:ascii="Calibri" w:hAnsi="Calibri" w:cs="Calibri" w:eastAsia="Calibri"/>
                <w:b/>
                <w:i w:val="0"/>
                <w:color w:val="FFFFFF"/>
                <w:sz w:val="20"/>
              </w:rPr>
              <w:t>Campo</w:t>
            </w:r>
          </w:p>
        </w:tc>
        <w:tc>
          <w:tcPr>
            <w:tcW w:type="dxa" w:w="6236"/>
            <w:shd w:val="clear" w:color="auto" w:fill="1F3864"/>
          </w:tcPr>
          <w:p>
            <w:r>
              <w:rPr>
                <w:rFonts w:ascii="Calibri" w:hAnsi="Calibri" w:cs="Calibri" w:eastAsia="Calibri"/>
                <w:b/>
                <w:i w:val="0"/>
                <w:color w:val="FFFFFF"/>
                <w:sz w:val="20"/>
              </w:rPr>
              <w:t>Detalle</w:t>
            </w:r>
          </w:p>
        </w:tc>
      </w:tr>
      <w:tr>
        <w:tc>
          <w:tcPr>
            <w:tcW w:type="dxa" w:w="2268"/>
          </w:tcPr>
          <w:p>
            <w:r>
              <w:rPr>
                <w:rFonts w:ascii="Calibri" w:hAnsi="Calibri" w:cs="Calibri" w:eastAsia="Calibri"/>
                <w:b w:val="0"/>
                <w:i w:val="0"/>
                <w:color w:val="000000"/>
                <w:sz w:val="20"/>
              </w:rPr>
              <w:t>Asignatura</w:t>
            </w:r>
          </w:p>
        </w:tc>
        <w:tc>
          <w:tcPr>
            <w:tcW w:type="dxa" w:w="6236"/>
          </w:tcPr>
          <w:p>
            <w:r>
              <w:rPr>
                <w:rFonts w:ascii="Calibri" w:hAnsi="Calibri" w:cs="Calibri" w:eastAsia="Calibri"/>
                <w:b w:val="0"/>
                <w:i w:val="0"/>
                <w:color w:val="000000"/>
                <w:sz w:val="20"/>
              </w:rPr>
              <w:t>PTY4614 · Capstone (Portafolio de Título, APT122)</w:t>
            </w:r>
          </w:p>
        </w:tc>
      </w:tr>
      <w:tr>
        <w:tc>
          <w:tcPr>
            <w:tcW w:type="dxa" w:w="2268"/>
            <w:shd w:val="clear" w:color="auto" w:fill="F2F2F2"/>
          </w:tcPr>
          <w:p>
            <w:r>
              <w:rPr>
                <w:rFonts w:ascii="Calibri" w:hAnsi="Calibri" w:cs="Calibri" w:eastAsia="Calibri"/>
                <w:b w:val="0"/>
                <w:i w:val="0"/>
                <w:color w:val="000000"/>
                <w:sz w:val="20"/>
              </w:rPr>
              <w:t>Sección y equipo</w:t>
            </w:r>
          </w:p>
        </w:tc>
        <w:tc>
          <w:tcPr>
            <w:tcW w:type="dxa" w:w="6236"/>
            <w:shd w:val="clear" w:color="auto" w:fill="F2F2F2"/>
          </w:tcPr>
          <w:p>
            <w:r>
              <w:rPr>
                <w:rFonts w:ascii="Calibri" w:hAnsi="Calibri" w:cs="Calibri" w:eastAsia="Calibri"/>
                <w:b w:val="0"/>
                <w:i w:val="0"/>
                <w:color w:val="000000"/>
                <w:sz w:val="20"/>
              </w:rPr>
              <w:t>802D · Equipo 1</w:t>
            </w:r>
          </w:p>
        </w:tc>
      </w:tr>
      <w:tr>
        <w:tc>
          <w:tcPr>
            <w:tcW w:type="dxa" w:w="2268"/>
          </w:tcPr>
          <w:p>
            <w:r>
              <w:rPr>
                <w:rFonts w:ascii="Calibri" w:hAnsi="Calibri" w:cs="Calibri" w:eastAsia="Calibri"/>
                <w:b w:val="0"/>
                <w:i w:val="0"/>
                <w:color w:val="000000"/>
                <w:sz w:val="20"/>
              </w:rPr>
              <w:t>Integrantes</w:t>
            </w:r>
          </w:p>
        </w:tc>
        <w:tc>
          <w:tcPr>
            <w:tcW w:type="dxa" w:w="6236"/>
          </w:tcPr>
          <w:p>
            <w:r>
              <w:rPr>
                <w:rFonts w:ascii="Calibri" w:hAnsi="Calibri" w:cs="Calibri" w:eastAsia="Calibri"/>
                <w:b w:val="0"/>
                <w:i w:val="0"/>
                <w:color w:val="000000"/>
                <w:sz w:val="20"/>
              </w:rPr>
              <w:t>Iahn Vera · Joaquín Armijo · Benjamín Cáceres · Fernando Muñoz</w:t>
            </w:r>
          </w:p>
        </w:tc>
      </w:tr>
      <w:tr>
        <w:tc>
          <w:tcPr>
            <w:tcW w:type="dxa" w:w="2268"/>
            <w:shd w:val="clear" w:color="auto" w:fill="F2F2F2"/>
          </w:tcPr>
          <w:p>
            <w:r>
              <w:rPr>
                <w:rFonts w:ascii="Calibri" w:hAnsi="Calibri" w:cs="Calibri" w:eastAsia="Calibri"/>
                <w:b w:val="0"/>
                <w:i w:val="0"/>
                <w:color w:val="000000"/>
                <w:sz w:val="20"/>
              </w:rPr>
              <w:t>Carrera</w:t>
            </w:r>
          </w:p>
        </w:tc>
        <w:tc>
          <w:tcPr>
            <w:tcW w:type="dxa" w:w="6236"/>
            <w:shd w:val="clear" w:color="auto" w:fill="F2F2F2"/>
          </w:tcPr>
          <w:p>
            <w:r>
              <w:rPr>
                <w:rFonts w:ascii="Calibri" w:hAnsi="Calibri" w:cs="Calibri" w:eastAsia="Calibri"/>
                <w:b w:val="0"/>
                <w:i w:val="0"/>
                <w:color w:val="000000"/>
                <w:sz w:val="20"/>
              </w:rPr>
              <w:t>Ingeniería en Informática · Duoc UC</w:t>
            </w:r>
          </w:p>
        </w:tc>
      </w:tr>
      <w:tr>
        <w:tc>
          <w:tcPr>
            <w:tcW w:type="dxa" w:w="2268"/>
          </w:tcPr>
          <w:p>
            <w:r>
              <w:rPr>
                <w:rFonts w:ascii="Calibri" w:hAnsi="Calibri" w:cs="Calibri" w:eastAsia="Calibri"/>
                <w:b w:val="0"/>
                <w:i w:val="0"/>
                <w:color w:val="000000"/>
                <w:sz w:val="20"/>
              </w:rPr>
              <w:t>Hito</w:t>
            </w:r>
          </w:p>
        </w:tc>
        <w:tc>
          <w:tcPr>
            <w:tcW w:type="dxa" w:w="6236"/>
          </w:tcPr>
          <w:p>
            <w:r>
              <w:rPr>
                <w:rFonts w:ascii="Calibri" w:hAnsi="Calibri" w:cs="Calibri" w:eastAsia="Calibri"/>
                <w:b w:val="0"/>
                <w:i w:val="0"/>
                <w:color w:val="000000"/>
                <w:sz w:val="20"/>
              </w:rPr>
              <w:t>Entrega de avance de la Fase 2 (semana 10, sin presentación)</w:t>
            </w:r>
          </w:p>
        </w:tc>
      </w:tr>
      <w:tr>
        <w:tc>
          <w:tcPr>
            <w:tcW w:type="dxa" w:w="2268"/>
            <w:shd w:val="clear" w:color="auto" w:fill="F2F2F2"/>
          </w:tcPr>
          <w:p>
            <w:r>
              <w:rPr>
                <w:rFonts w:ascii="Calibri" w:hAnsi="Calibri" w:cs="Calibri" w:eastAsia="Calibri"/>
                <w:b w:val="0"/>
                <w:i w:val="0"/>
                <w:color w:val="000000"/>
                <w:sz w:val="20"/>
              </w:rPr>
              <w:t>Fecha de corte</w:t>
            </w:r>
          </w:p>
        </w:tc>
        <w:tc>
          <w:tcPr>
            <w:tcW w:type="dxa" w:w="6236"/>
            <w:shd w:val="clear" w:color="auto" w:fill="F2F2F2"/>
          </w:tcPr>
          <w:p>
            <w:r>
              <w:rPr>
                <w:rFonts w:ascii="Calibri" w:hAnsi="Calibri" w:cs="Calibri" w:eastAsia="Calibri"/>
                <w:b w:val="0"/>
                <w:i w:val="0"/>
                <w:color w:val="000000"/>
                <w:sz w:val="20"/>
              </w:rPr>
              <w:t>15 de octubre de 2026</w:t>
            </w:r>
          </w:p>
        </w:tc>
      </w:tr>
      <w:tr>
        <w:tc>
          <w:tcPr>
            <w:tcW w:type="dxa" w:w="2268"/>
          </w:tcPr>
          <w:p>
            <w:r>
              <w:rPr>
                <w:rFonts w:ascii="Calibri" w:hAnsi="Calibri" w:cs="Calibri" w:eastAsia="Calibri"/>
                <w:b w:val="0"/>
                <w:i w:val="0"/>
                <w:color w:val="000000"/>
                <w:sz w:val="20"/>
              </w:rPr>
              <w:t>Repositorio</w:t>
            </w:r>
          </w:p>
        </w:tc>
        <w:tc>
          <w:tcPr>
            <w:tcW w:type="dxa" w:w="6236"/>
          </w:tcPr>
          <w:p>
            <w:r>
              <w:rPr>
                <w:rFonts w:ascii="Calibri" w:hAnsi="Calibri" w:cs="Calibri" w:eastAsia="Calibri"/>
                <w:b w:val="0"/>
                <w:i w:val="0"/>
                <w:color w:val="000000"/>
                <w:sz w:val="20"/>
              </w:rPr>
              <w:t>github.com/lonelystar16/AV_AldoMartinez802D_Equipo1</w:t>
            </w:r>
          </w:p>
        </w:tc>
      </w:tr>
    </w:tbl>
    <w:p>
      <w:r>
        <w:br w:type="page"/>
      </w:r>
    </w:p>
    <w:p>
      <w:pPr>
        <w:spacing w:after="120"/>
      </w:pPr>
      <w:r>
        <w:rPr>
          <w:rFonts w:ascii="Calibri" w:hAnsi="Calibri" w:cs="Calibri" w:eastAsia="Calibri"/>
          <w:b/>
          <w:i w:val="0"/>
          <w:color w:val="1F3864"/>
          <w:sz w:val="28"/>
        </w:rPr>
        <w:t>Índice</w:t>
      </w:r>
    </w:p>
    <w:p>
      <w:pPr>
        <w:spacing w:after="60"/>
      </w:pPr>
      <w:r>
        <w:rPr>
          <w:rFonts w:ascii="Calibri" w:hAnsi="Calibri" w:cs="Calibri" w:eastAsia="Calibri"/>
          <w:b w:val="0"/>
          <w:i w:val="0"/>
          <w:color w:val="000000"/>
          <w:sz w:val="22"/>
        </w:rPr>
        <w:t>Abstract (español) · Abstract (English)</w:t>
      </w:r>
    </w:p>
    <w:p>
      <w:pPr>
        <w:spacing w:after="60"/>
      </w:pPr>
      <w:r>
        <w:rPr>
          <w:rFonts w:ascii="Calibri" w:hAnsi="Calibri" w:cs="Calibri" w:eastAsia="Calibri"/>
          <w:b w:val="0"/>
          <w:i w:val="0"/>
          <w:color w:val="000000"/>
          <w:sz w:val="22"/>
        </w:rPr>
        <w:t>1. Resumen del avance del Proyecto APT</w:t>
      </w:r>
    </w:p>
    <w:p>
      <w:pPr>
        <w:spacing w:after="60"/>
      </w:pPr>
      <w:r>
        <w:rPr>
          <w:rFonts w:ascii="Calibri" w:hAnsi="Calibri" w:cs="Calibri" w:eastAsia="Calibri"/>
          <w:b w:val="0"/>
          <w:i w:val="0"/>
          <w:color w:val="000000"/>
          <w:sz w:val="22"/>
        </w:rPr>
        <w:t xml:space="preserve">      Resumen · Objetivos (ajustados) · Metodología (ajustada) · Evidencias de avance</w:t>
      </w:r>
    </w:p>
    <w:p>
      <w:pPr>
        <w:spacing w:after="60"/>
      </w:pPr>
      <w:r>
        <w:rPr>
          <w:rFonts w:ascii="Calibri" w:hAnsi="Calibri" w:cs="Calibri" w:eastAsia="Calibri"/>
          <w:b w:val="0"/>
          <w:i w:val="0"/>
          <w:color w:val="000000"/>
          <w:sz w:val="22"/>
        </w:rPr>
        <w:t>2. Monitoreo del plan de trabajo</w:t>
      </w:r>
    </w:p>
    <w:p>
      <w:pPr>
        <w:spacing w:after="60"/>
      </w:pPr>
      <w:r>
        <w:rPr>
          <w:rFonts w:ascii="Calibri" w:hAnsi="Calibri" w:cs="Calibri" w:eastAsia="Calibri"/>
          <w:b w:val="0"/>
          <w:i w:val="0"/>
          <w:color w:val="000000"/>
          <w:sz w:val="22"/>
        </w:rPr>
        <w:t>3. Ajustes a partir del monitoreo</w:t>
      </w:r>
    </w:p>
    <w:p>
      <w:pPr>
        <w:spacing w:after="60"/>
      </w:pPr>
      <w:r>
        <w:rPr>
          <w:rFonts w:ascii="Calibri" w:hAnsi="Calibri" w:cs="Calibri" w:eastAsia="Calibri"/>
          <w:b w:val="0"/>
          <w:i w:val="0"/>
          <w:color w:val="000000"/>
          <w:sz w:val="22"/>
        </w:rPr>
        <w:t xml:space="preserve">      Factores facilitadores y obstaculizadores · Actividades ajustadas o eliminadas · Actividades no iniciadas o retrasadas</w:t>
      </w:r>
    </w:p>
    <w:p>
      <w:pPr>
        <w:spacing w:after="60"/>
      </w:pPr>
      <w:r>
        <w:rPr>
          <w:rFonts w:ascii="Calibri" w:hAnsi="Calibri" w:cs="Calibri" w:eastAsia="Calibri"/>
          <w:b w:val="0"/>
          <w:i w:val="0"/>
          <w:color w:val="000000"/>
          <w:sz w:val="22"/>
        </w:rPr>
        <w:t>4. Conclusiones</w:t>
      </w:r>
    </w:p>
    <w:p>
      <w:pPr>
        <w:spacing w:after="60"/>
      </w:pPr>
      <w:r>
        <w:rPr>
          <w:rFonts w:ascii="Calibri" w:hAnsi="Calibri" w:cs="Calibri" w:eastAsia="Calibri"/>
          <w:b w:val="0"/>
          <w:i w:val="0"/>
          <w:color w:val="000000"/>
          <w:sz w:val="22"/>
        </w:rPr>
        <w:t>5. Individual conclusions and reflections (English)</w:t>
      </w:r>
    </w:p>
    <w:p>
      <w:pPr>
        <w:spacing w:after="60"/>
      </w:pPr>
      <w:r>
        <w:rPr>
          <w:rFonts w:ascii="Calibri" w:hAnsi="Calibri" w:cs="Calibri" w:eastAsia="Calibri"/>
          <w:b w:val="0"/>
          <w:i w:val="0"/>
          <w:color w:val="000000"/>
          <w:sz w:val="22"/>
        </w:rPr>
        <w:t>6. Referencias</w:t>
      </w:r>
    </w:p>
    <w:p>
      <w:pPr>
        <w:spacing w:after="60"/>
      </w:pPr>
      <w:r>
        <w:rPr>
          <w:rFonts w:ascii="Calibri" w:hAnsi="Calibri" w:cs="Calibri" w:eastAsia="Calibri"/>
          <w:b w:val="0"/>
          <w:i w:val="0"/>
          <w:color w:val="000000"/>
          <w:sz w:val="22"/>
        </w:rPr>
        <w:t>Anexo A. Evidencias de avance en el repositorio</w:t>
      </w:r>
    </w:p>
    <w:p>
      <w:pPr>
        <w:spacing w:after="120"/>
      </w:pPr>
      <w:r>
        <w:rPr>
          <w:rFonts w:ascii="Calibri" w:hAnsi="Calibri" w:cs="Calibri" w:eastAsia="Calibri"/>
          <w:b w:val="0"/>
          <w:i w:val="0"/>
          <w:color w:val="000000"/>
          <w:sz w:val="22"/>
        </w:rPr>
      </w:r>
    </w:p>
    <w:p>
      <w:pPr>
        <w:spacing w:after="80"/>
      </w:pPr>
      <w:r>
        <w:rPr>
          <w:rFonts w:ascii="Calibri" w:hAnsi="Calibri" w:cs="Calibri" w:eastAsia="Calibri"/>
          <w:b/>
          <w:i w:val="0"/>
          <w:color w:val="1F3864"/>
          <w:sz w:val="26"/>
        </w:rPr>
        <w:t>Abstract (español)</w:t>
      </w:r>
    </w:p>
    <w:p>
      <w:pPr>
        <w:spacing w:after="120"/>
      </w:pPr>
      <w:r>
        <w:rPr>
          <w:rFonts w:ascii="Calibri" w:hAnsi="Calibri" w:cs="Calibri" w:eastAsia="Calibri"/>
          <w:b w:val="0"/>
          <w:i w:val="0"/>
          <w:color w:val="000000"/>
          <w:sz w:val="22"/>
        </w:rPr>
        <w:t>CascoVision es un sistema que detecta la ausencia de casco y chaleco reflectante en faenas de construcción usando las cámaras IP existentes, y que activa una baliza zonal sonora y visual en el sector de la infracción sin identificar a las personas. Este informe reporta el avance a la semana 10 de 18. El equipo aplica una metodología tradicional en cascada con puertas de fase, adoptada en la semana 7 a partir de la retroalimentación docente. A la fecha están cerradas la planificación y la especificación de requerimientos (borrador v0.3 del SRS), y la construcción avanza en tres frentes: un modelo YOLO26s entrenado con el dataset Construction-PPE (mAP@0,5 de 0,889 en chaleco y 0,848 en casco), una API REST en FastAPI con pruebas automatizadas y la persistencia de incidentes en PostgreSQL, en integración. Las principales desviaciones son el documento de diseño y el plan de pruebas, atrasados, y el recall de la regla de casco (0,757), bajo el umbral de 0,85. El informe detalla los ajustes al plan y las estrategias para recuperar el cronograma antes de la entrega final de la semana 15.</w:t>
      </w:r>
    </w:p>
    <w:p>
      <w:pPr>
        <w:spacing w:after="80"/>
      </w:pPr>
      <w:r>
        <w:rPr>
          <w:rFonts w:ascii="Calibri" w:hAnsi="Calibri" w:cs="Calibri" w:eastAsia="Calibri"/>
          <w:b/>
          <w:i w:val="0"/>
          <w:color w:val="1F3864"/>
          <w:sz w:val="26"/>
        </w:rPr>
        <w:t>Abstract (English)</w:t>
      </w:r>
    </w:p>
    <w:p>
      <w:pPr>
        <w:spacing w:after="120"/>
      </w:pPr>
      <w:r>
        <w:rPr>
          <w:rFonts w:ascii="Calibri" w:hAnsi="Calibri" w:cs="Calibri" w:eastAsia="Calibri"/>
          <w:b w:val="0"/>
          <w:i w:val="0"/>
          <w:color w:val="000000"/>
          <w:sz w:val="22"/>
        </w:rPr>
        <w:t>CascoVision is a system that detects missing hard hats and high-visibility vests on construction sites using the IP cameras already installed, and triggers an audible and visual zone beacon in the area where the violation occurs, without identifying workers. This report covers progress up to week 10 of 18. The team follows a traditional waterfall methodology with phase gates, adopted in week 7 in response to instructor feedback. Planning and requirements specification are complete (SRS draft v0.3), and construction is moving forward on three fronts: a YOLO26s model trained on the Construction-PPE dataset (mAP@0.5 of 0.889 for vests and 0.848 for hard hats), a FastAPI REST API with automated tests, and PostgreSQL incident storage, which is currently being integrated. The main deviations are the delayed design document and test plan, and the recall of the hard-hat rule (0.757), which is below the 0.85 target. The report describes the adjustments made to the plan and the strategies to recover the schedule before the final delivery in week 15.</w:t>
      </w:r>
    </w:p>
    <w:p>
      <w:r>
        <w:br w:type="page"/>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A la semana 10 el proyecto cerró las fases de inicio y de análisis de requerimientos, tiene el diseño parcialmente documentado y la construcción en marcha. Las actividades realizadas y los objetivos específicos a los que aportan son:</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Planificación (fase 1). </w:t>
            </w:r>
            <w:r>
              <w:rPr>
                <w:rFonts w:ascii="Calibri" w:hAnsi="Calibri" w:cs="Calibri" w:eastAsia="Calibri"/>
                <w:b w:val="0"/>
                <w:i w:val="0"/>
                <w:color w:val="000000"/>
                <w:sz w:val="20"/>
              </w:rPr>
              <w:t>Definición del proyecto, EDT de 8 paquetes, carta Gantt de 18 semanas y presentación sumativa de la Fase 1 (nota grupal 6,8). Tras la retroalimentación docente se reorganizó el plan como cascada con puertas de fase.</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Análisis de requerimientos (fase 2). </w:t>
            </w:r>
            <w:r>
              <w:rPr>
                <w:rFonts w:ascii="Calibri" w:hAnsi="Calibri" w:cs="Calibri" w:eastAsia="Calibri"/>
                <w:b w:val="0"/>
                <w:i w:val="0"/>
                <w:color w:val="000000"/>
                <w:sz w:val="20"/>
              </w:rPr>
              <w:t>SRS (D1) con requerimientos funcionales y no funcionales, casos de uso y criterios de aceptación medibles (v0.2 del 24-09 y v0.3 del 09-10). Compra de la baliza M5Stack StickS3 el 23-09.</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Diseño (fase 3, parcial). </w:t>
            </w:r>
            <w:r>
              <w:rPr>
                <w:rFonts w:ascii="Calibri" w:hAnsi="Calibri" w:cs="Calibri" w:eastAsia="Calibri"/>
                <w:b w:val="0"/>
                <w:i w:val="0"/>
                <w:color w:val="000000"/>
                <w:sz w:val="20"/>
              </w:rPr>
              <w:t>Arquitectura por capas descrita en el README, diagrama UML de casos de uso, contrato de la API (docs/API.md) y diseño del flujo de alerta, con el agente Edge como emisor de la orden a la baliza.</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Construcción (fase 4, en curso). </w:t>
            </w:r>
            <w:r>
              <w:rPr>
                <w:rFonts w:ascii="Calibri" w:hAnsi="Calibri" w:cs="Calibri" w:eastAsia="Calibri"/>
                <w:b w:val="0"/>
                <w:i w:val="0"/>
                <w:color w:val="000000"/>
                <w:sz w:val="20"/>
              </w:rPr>
              <w:t>Objetivo 1: modelo YOLO26s entrenado 100 épocas con 1.416 imágenes del dataset Construction-PPE, con métricas por clase y por regla de negocio. Objetivo 2: motor de detección que aplica las reglas de casco y chaleco por persona y difumina rostros, y un prototipo del agente que envía incidentes a la API. Objetivo 4: API REST en FastAPI con GET /health y pruebas automatizadas. Objetivo 7: migración de la tabla de incidentes en PostgreSQL y variables de entorno documentadas (.env.example).</w:t>
            </w:r>
          </w:p>
          <w:p>
            <w:pPr>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Ningún objetivo específico está cumplido por completo, porque todos se cierran en las fases de construcción, integración y pruebas (semanas 9 a 15). El objetivo más avanzado es el 1 (modelo), que ya cumple el umbral de recall en la regla de chaleco (0,89) pero no en la de casco (0,757). Los objetivos 3 (baliza), 5 (alertas remotas) y 6 (plan de pruebas) aún no tienen construcción.</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Pr>
                <w:rFonts w:ascii="Calibri" w:hAnsi="Calibri" w:cs="Calibri" w:eastAsia="Calibri"/>
                <w:b/>
                <w:i w:val="0"/>
                <w:color w:val="000000"/>
                <w:sz w:val="20"/>
              </w:rPr>
              <w:t xml:space="preserve">Objetivo general (ajustado). </w:t>
            </w:r>
            <w:r>
              <w:rPr>
                <w:rFonts w:ascii="Calibri" w:hAnsi="Calibri" w:cs="Calibri" w:eastAsia="Calibri"/>
                <w:b w:val="0"/>
                <w:i w:val="0"/>
                <w:color w:val="000000"/>
                <w:sz w:val="20"/>
              </w:rPr>
              <w:t xml:space="preserve">Desarrollar e implementar CascoVision, un sistema de detección automatizada del uso de EPP basado en visión computacional y </w:t>
            </w:r>
            <w:r>
              <w:rPr>
                <w:rFonts w:ascii="Calibri" w:hAnsi="Calibri" w:cs="Calibri" w:eastAsia="Calibri"/>
                <w:b/>
                <w:i w:val="0"/>
                <w:color w:val="000000"/>
                <w:sz w:val="20"/>
              </w:rPr>
              <w:t>balizas de alerta zonales conectadas por IP</w:t>
            </w:r>
            <w:r>
              <w:rPr>
                <w:rFonts w:ascii="Calibri" w:hAnsi="Calibri" w:cs="Calibri" w:eastAsia="Calibri"/>
                <w:b w:val="0"/>
                <w:i w:val="0"/>
                <w:color w:val="000000"/>
                <w:sz w:val="20"/>
              </w:rPr>
              <w:t>, que permita a las empresas constructoras prevenir accidentes laborales, reducir su exposición a multas y respaldar el cumplimiento de la norma ISO 45001.</w:t>
            </w:r>
          </w:p>
          <w:p>
            <w:pPr>
              <w:jc w:val="both"/>
              <w:rPr>
                <w:rFonts w:ascii="Calibri" w:cs="Calibri" w:eastAsia="Calibri" w:hAnsi="Calibri"/>
                <w:b w:val="1"/>
                <w:bCs w:val="1"/>
                <w:i w:val="1"/>
                <w:iCs w:val="1"/>
                <w:color w:val="548dd4"/>
                <w:sz w:val="20"/>
                <w:szCs w:val="20"/>
              </w:rPr>
            </w:pPr>
            <w:r>
              <w:rPr>
                <w:rFonts w:ascii="Calibri" w:hAnsi="Calibri" w:cs="Calibri" w:eastAsia="Calibri"/>
                <w:b/>
                <w:i w:val="0"/>
                <w:color w:val="000000"/>
                <w:sz w:val="20"/>
              </w:rPr>
              <w:t xml:space="preserve">Objetivos específicos </w:t>
            </w:r>
            <w:r>
              <w:rPr>
                <w:rFonts w:ascii="Calibri" w:hAnsi="Calibri" w:cs="Calibri" w:eastAsia="Calibri"/>
                <w:b w:val="0"/>
                <w:i w:val="0"/>
                <w:color w:val="000000"/>
                <w:sz w:val="20"/>
              </w:rPr>
              <w:t>(en negrita, lo que cambió respecto de la Fase 1):</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 xml:space="preserve">1. Entrenar y validar un modelo de detección de objetos </w:t>
            </w:r>
            <w:r>
              <w:rPr>
                <w:rFonts w:ascii="Calibri" w:hAnsi="Calibri" w:cs="Calibri" w:eastAsia="Calibri"/>
                <w:b/>
                <w:i w:val="0"/>
                <w:color w:val="000000"/>
                <w:sz w:val="20"/>
              </w:rPr>
              <w:t>de la familia YOLO de Ultralytics (se usa YOLO26)</w:t>
            </w:r>
            <w:r>
              <w:rPr>
                <w:rFonts w:ascii="Calibri" w:hAnsi="Calibri" w:cs="Calibri" w:eastAsia="Calibri"/>
                <w:b w:val="0"/>
                <w:i w:val="0"/>
                <w:color w:val="000000"/>
                <w:sz w:val="20"/>
              </w:rPr>
              <w:t xml:space="preserve"> capaz de identificar casco y chaleco reflectante con mAP@0,5 ≥ 0,90 </w:t>
            </w:r>
            <w:r>
              <w:rPr>
                <w:rFonts w:ascii="Calibri" w:hAnsi="Calibri" w:cs="Calibri" w:eastAsia="Calibri"/>
                <w:b/>
                <w:i w:val="0"/>
                <w:color w:val="000000"/>
                <w:sz w:val="20"/>
              </w:rPr>
              <w:t>y recall ≥ 0,85 en las reglas de casco y chaleco.</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2. Desarrollar el agente Edge que se integra con cámaras IP estándar mediante ONVIF/RTSP, sin reemplazar el hardware del cliente.</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 xml:space="preserve">3. Implementar el subsistema de alerta física: comunicación por red hacia la IP de la </w:t>
            </w:r>
            <w:r>
              <w:rPr>
                <w:rFonts w:ascii="Calibri" w:hAnsi="Calibri" w:cs="Calibri" w:eastAsia="Calibri"/>
                <w:b/>
                <w:i w:val="0"/>
                <w:color w:val="000000"/>
                <w:sz w:val="20"/>
              </w:rPr>
              <w:t>baliza zonal, que emite una alerta sonora y visual</w:t>
            </w:r>
            <w:r>
              <w:rPr>
                <w:rFonts w:ascii="Calibri" w:hAnsi="Calibri" w:cs="Calibri" w:eastAsia="Calibri"/>
                <w:b w:val="0"/>
                <w:i w:val="0"/>
                <w:color w:val="000000"/>
                <w:sz w:val="20"/>
              </w:rPr>
              <w:t xml:space="preserve"> ante cada infracción detectada en su zona.</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4. Construir el dashboard web de monitoreo, gestión de incidentes y reportería con evidencia fotográfica.</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5. Integrar el canal de notificaciones remotas (SMS y correo electrónico) hacia el prevencionista de riesgos.</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6. Diseñar y aplicar un plan de pruebas de validación del producto y del proceso, con criterios de aceptación medibles.</w:t>
            </w:r>
          </w:p>
          <w:p>
            <w:pPr>
              <w:jc w:val="both"/>
              <w:rPr>
                <w:rFonts w:ascii="Calibri" w:cs="Calibri" w:eastAsia="Calibri" w:hAnsi="Calibri"/>
                <w:b w:val="1"/>
                <w:bCs w:val="1"/>
                <w:i w:val="1"/>
                <w:iCs w:val="1"/>
                <w:color w:val="548dd4"/>
                <w:sz w:val="20"/>
                <w:szCs w:val="20"/>
              </w:rPr>
            </w:pPr>
            <w:r>
              <w:rPr>
                <w:rFonts w:ascii="Calibri" w:hAnsi="Calibri" w:cs="Calibri" w:eastAsia="Calibri"/>
                <w:b w:val="0"/>
                <w:i w:val="0"/>
                <w:color w:val="000000"/>
                <w:sz w:val="20"/>
              </w:rPr>
              <w:t xml:space="preserve">7. Documentar la arquitectura, el modelo de datos y el despliegue </w:t>
            </w:r>
            <w:r>
              <w:rPr>
                <w:rFonts w:ascii="Calibri" w:hAnsi="Calibri" w:cs="Calibri" w:eastAsia="Calibri"/>
                <w:b/>
                <w:i w:val="0"/>
                <w:color w:val="000000"/>
                <w:sz w:val="20"/>
              </w:rPr>
              <w:t>con Docker</w:t>
            </w:r>
            <w:r>
              <w:rPr>
                <w:rFonts w:ascii="Calibri" w:hAnsi="Calibri" w:cs="Calibri" w:eastAsia="Calibri"/>
                <w:b w:val="0"/>
                <w:i w:val="0"/>
                <w:color w:val="000000"/>
                <w:sz w:val="20"/>
              </w:rPr>
              <w:t xml:space="preserve"> (manual técnico) para el traspaso de la solución.</w:t>
            </w:r>
          </w:p>
          <w:p>
            <w:pPr>
              <w:jc w:val="both"/>
              <w:rPr>
                <w:rFonts w:ascii="Calibri" w:cs="Calibri" w:eastAsia="Calibri" w:hAnsi="Calibri"/>
                <w:b w:val="1"/>
                <w:bCs w:val="1"/>
                <w:i w:val="1"/>
                <w:iCs w:val="1"/>
                <w:color w:val="548dd4"/>
                <w:sz w:val="20"/>
                <w:szCs w:val="20"/>
              </w:rPr>
            </w:pPr>
            <w:r>
              <w:rPr>
                <w:rFonts w:ascii="Calibri" w:hAnsi="Calibri" w:cs="Calibri" w:eastAsia="Calibri"/>
                <w:b/>
                <w:i w:val="0"/>
                <w:color w:val="000000"/>
                <w:sz w:val="20"/>
              </w:rPr>
              <w:t xml:space="preserve">Justificación. </w:t>
            </w:r>
            <w:r>
              <w:rPr>
                <w:rFonts w:ascii="Calibri" w:hAnsi="Calibri" w:cs="Calibri" w:eastAsia="Calibri"/>
                <w:b w:val="0"/>
                <w:i w:val="0"/>
                <w:color w:val="000000"/>
                <w:sz w:val="20"/>
              </w:rPr>
              <w:t>El objetivo 3 cambió porque la alerta vibratoria en el trabajador exigía identificar a la persona, y el proyecto excluye la biometría; la alerta pasa a ser por zona. El objetivo 7 incorpora Docker porque lo exige el anexo de artefactos del curso. El objetivo 1 cambia de YOLOv8 a YOLO26, la versión vigente de Ultralytics, y explicita el criterio de recall que ya estaba en el SRS (RNF-05). El equipo validó este ajuste el 15-10-2026, incluido medir el umbral de mAP sobre las clases que usa el producto; se informará al docente en la retroalimentación de avance.</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Ajuste: de desarrollo iterativo incremental a metodología tradicional en cascada con puertas de fase </w:t>
            </w:r>
            <w:r>
              <w:rPr>
                <w:rFonts w:ascii="Calibri" w:hAnsi="Calibri" w:cs="Calibri" w:eastAsia="Calibri"/>
                <w:b w:val="0"/>
                <w:i w:val="0"/>
                <w:color w:val="000000"/>
                <w:sz w:val="20"/>
              </w:rPr>
              <w:t>(decisión del 23-09-2026, respuesta a la observación F6 del docente: «ojo con la metodología de incremental»).</w:t>
            </w:r>
          </w:p>
          <w:p>
            <w:pPr>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El proyecto avanza por siete fases secuenciales: inicio y planificación (S1–S4), análisis de requerimientos (S5–S7), diseño (S8–S9), construcción (S9–S13), integración y pruebas (S13–S15), implantación y cierre (S14–S15) y presentación (S16–S18). Cada fase termina con un entregable aprobado, la puerta de fase, que es la entrada de la siguiente: SRS (D1), documento de diseño (D2), plan y evidencias de pruebas (D3) y manual técnico (D4).</w:t>
            </w:r>
          </w:p>
          <w:p>
            <w:pPr>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Solapamiento controlado. </w:t>
            </w:r>
            <w:r>
              <w:rPr>
                <w:rFonts w:ascii="Calibri" w:hAnsi="Calibri" w:cs="Calibri" w:eastAsia="Calibri"/>
                <w:b w:val="0"/>
                <w:i w:val="0"/>
                <w:color w:val="000000"/>
                <w:sz w:val="20"/>
              </w:rPr>
              <w:t>Como los hitos de la asignatura son fijos, una tarea puede empezar antes del cierre formal de su fase solo si no depende del entregable pendiente. Así, el dataset y el entrenamiento del modelo partieron en la semana 9 sin esperar el D2.</w:t>
            </w:r>
          </w:p>
          <w:p>
            <w:pPr>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Pertinencia. </w:t>
            </w:r>
            <w:r>
              <w:rPr>
                <w:rFonts w:ascii="Calibri" w:hAnsi="Calibri" w:cs="Calibri" w:eastAsia="Calibri"/>
                <w:b w:val="0"/>
                <w:i w:val="0"/>
                <w:color w:val="000000"/>
                <w:sz w:val="20"/>
              </w:rPr>
              <w:t>Los requerimientos son estables, porque el producto ya fue evaluado técnica y económicamente en Evaluación de Proyectos; los hitos del curso son fijos (S4, S10, S15 y S17–18); la compra del hardware obliga a cerrar el protocolo de alerta antes de construir; y el plan que presentamos en la Fase 1 ya era secuencial, por lo que declararlo incremental era inconsistente.</w:t>
            </w:r>
          </w:p>
          <w:p>
            <w:pPr>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Control. </w:t>
            </w:r>
            <w:r>
              <w:rPr>
                <w:rFonts w:ascii="Calibri" w:hAnsi="Calibri" w:cs="Calibri" w:eastAsia="Calibri"/>
                <w:b w:val="0"/>
                <w:i w:val="0"/>
                <w:color w:val="000000"/>
                <w:sz w:val="20"/>
              </w:rPr>
              <w:t>Seguimiento semanal contra la Gantt, bitácora de decisiones y la rama main protegida en GitHub, que exige un pull request aprobado por otro integrante antes de integrar cualquier cambio.</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Las evidencias están en el repositorio oficial (detalle de rutas en el Anexo A). Cada una respalda una fase de la cascada o una competencia del perfil de egreso:</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E1. SRS (D1), v0.3. </w:t>
            </w:r>
            <w:r>
              <w:rPr>
                <w:rFonts w:ascii="Calibri" w:hAnsi="Calibri" w:cs="Calibri" w:eastAsia="Calibri"/>
                <w:b w:val="0"/>
                <w:i w:val="0"/>
                <w:color w:val="000000"/>
                <w:sz w:val="20"/>
              </w:rPr>
              <w:t>Requerimientos funcionales y no funcionales, casos de uso y criterios de aceptación medibles. Demuestra que la fase de análisis está cerrada a nivel de contenido (competencia 2.1).</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E2. Carta Gantt de la cascada. </w:t>
            </w:r>
            <w:r>
              <w:rPr>
                <w:rFonts w:ascii="Calibri" w:hAnsi="Calibri" w:cs="Calibri" w:eastAsia="Calibri"/>
                <w:b w:val="0"/>
                <w:i w:val="0"/>
                <w:color w:val="000000"/>
                <w:sz w:val="20"/>
              </w:rPr>
              <w:t>Fases, tareas, responsables, hitos y puertas de fase. Respalda la planificación y el control (2.1 y 2.2).</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E3. Diagrama UML de casos de uso y contrato de la API. </w:t>
            </w:r>
            <w:r>
              <w:rPr>
                <w:rFonts w:ascii="Calibri" w:hAnsi="Calibri" w:cs="Calibri" w:eastAsia="Calibri"/>
                <w:b w:val="0"/>
                <w:i w:val="0"/>
                <w:color w:val="000000"/>
                <w:sz w:val="20"/>
              </w:rPr>
              <w:t>Primeras piezas del documento de diseño: actores, casos de uso y el contrato de POST /incidents (3.1).</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E4. API REST en FastAPI con prueba automatizada. </w:t>
            </w:r>
            <w:r>
              <w:rPr>
                <w:rFonts w:ascii="Calibri" w:hAnsi="Calibri" w:cs="Calibri" w:eastAsia="Calibri"/>
                <w:b w:val="0"/>
                <w:i w:val="0"/>
                <w:color w:val="000000"/>
                <w:sz w:val="20"/>
              </w:rPr>
              <w:t>GET /health con su prueba en pytest (pasa) y dependencias con versión fija. Demuestra construcción con buenas prácticas (4.1 y 1.2).</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E5. Modelo YOLO26s entrenado y sus métricas. </w:t>
            </w:r>
            <w:r>
              <w:rPr>
                <w:rFonts w:ascii="Calibri" w:hAnsi="Calibri" w:cs="Calibri" w:eastAsia="Calibri"/>
                <w:b w:val="0"/>
                <w:i w:val="0"/>
                <w:color w:val="000000"/>
                <w:sz w:val="20"/>
              </w:rPr>
              <w:t>Corrida train-9 (100 épocas) con curvas de precisión y recall, matriz de confusión y métricas por clase y por regla de negocio. Demuestra el avance del objetivo 1 con datos verificables y no con una demostración visual.</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E6. Motor de detección con difuminado facial. </w:t>
            </w:r>
            <w:r>
              <w:rPr>
                <w:rFonts w:ascii="Calibri" w:hAnsi="Calibri" w:cs="Calibri" w:eastAsia="Calibri"/>
                <w:b w:val="0"/>
                <w:i w:val="0"/>
                <w:color w:val="000000"/>
                <w:sz w:val="20"/>
              </w:rPr>
              <w:t>Aplica las reglas de casco y chaleco por persona y difumina los rostros antes de guardar evidencia (RF-06). Resguarda la privacidad exigida por la Ley N° 19.628.</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E7. Persistencia de incidentes en PostgreSQL (en integración). </w:t>
            </w:r>
            <w:r>
              <w:rPr>
                <w:rFonts w:ascii="Calibri" w:hAnsi="Calibri" w:cs="Calibri" w:eastAsia="Calibri"/>
                <w:b w:val="0"/>
                <w:i w:val="0"/>
                <w:color w:val="000000"/>
                <w:sz w:val="20"/>
              </w:rPr>
              <w:t>Migración 001_create_incidents.sql, POST /incidents con token del agente Edge y diez pruebas automatizadas. Respalda el modelo de datos (3.2).</w:t>
            </w:r>
          </w:p>
          <w:p>
            <w:pPr>
              <w:tabs>
                <w:tab w:pos="280" w:val="left"/>
              </w:tabs>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E8. Historial del repositorio. </w:t>
            </w:r>
            <w:r>
              <w:rPr>
                <w:rFonts w:ascii="Calibri" w:hAnsi="Calibri" w:cs="Calibri" w:eastAsia="Calibri"/>
                <w:b w:val="0"/>
                <w:i w:val="0"/>
                <w:color w:val="000000"/>
                <w:sz w:val="20"/>
              </w:rPr>
              <w:t>Pull requests revisados (#1, #2 y #4), rama protegida y commits de los cuatro integrantes.</w:t>
            </w:r>
          </w:p>
          <w:p>
            <w:pPr>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Cómo resguardamos la calidad. </w:t>
            </w:r>
            <w:r>
              <w:rPr>
                <w:rFonts w:ascii="Calibri" w:hAnsi="Calibri" w:cs="Calibri" w:eastAsia="Calibri"/>
                <w:b w:val="0"/>
                <w:i w:val="0"/>
                <w:color w:val="000000"/>
                <w:sz w:val="20"/>
              </w:rPr>
              <w:t>Revisión obligatoria por pull request; pruebas automatizadas con pytest; dependencias con versión fija; secretos fuera del código (.env.example); métricas calculadas sobre un conjunto de validación separado (143 imágenes); y difuminado facial por diseño. Reconocemos además dos problemas de calidad que estamos corrigiendo: el dataset completo y pesos duplicados quedaron versionados en main, y hay mensajes de commit poco descriptivos.</w:t>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0"/>
        <w:gridCol w:w="1417"/>
        <w:gridCol w:w="1077"/>
        <w:gridCol w:w="623"/>
        <w:gridCol w:w="1134"/>
        <w:gridCol w:w="1190"/>
        <w:gridCol w:w="850"/>
        <w:gridCol w:w="1417"/>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blHeader w:val="0"/>
        </w:trPr>
        <w:tc>
          <w:tcPr>
            <w:tcW w:type="dxa" w:w="1020"/>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W w:type="dxa" w:w="1417"/>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tcW w:type="dxa" w:w="1077"/>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tcW w:type="dxa" w:w="624"/>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tcW w:type="dxa" w:w="1134"/>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tcW w:type="dxa" w:w="1191"/>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tcW w:type="dxa" w:w="850"/>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tcW w:type="dxa" w:w="1417"/>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2.1 Planifica proyectos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Definición del proyecto, EDT, Gantt y presentación de la Fase 1 (1.1–1.3)</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Plantillas del curso; base documental de Evaluación de Proyectos</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S1–S4</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Equipo (coordina 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 el proyecto ya estaba evaluado</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Completado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2.2 Controla proyectos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Ajustes por la retroalimentación de la Fase 1 (2.1)</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Observaciones F1–F8 del docente</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S5–S6</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la observación F6 obliga a cambiar la metodología</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Ajustada</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Incremental → cascada; baliza zonal; Docker en el alcance</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3.1 Diseña modelos de datos · 2.1</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Especificación de requerimientos, SRS/D1 (2.2)</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Plantilla del anexo del curso</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S6–S7</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Iahn Vera, Joaquín Armijo (v0.3: Fernando Muñoz)</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decisiones abiertas en la §4.6 de la v0.3</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Con retraso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Contenido listo; la aprobación formal pasa a S11</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4.2 Integra componentes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Compra de la baliza M5Stack StickS3 (2.3)</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~US$40 (AliExpress)</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S7</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envío de 2 a 4 semanas</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Completado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La integración física se mueve al final; se usa un receptor simulado</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4.1 Construye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Arquitectura y diagrama de despliegue (3.1)</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README, documento de contexto</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S8</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 arquitectura definida desde la Fase 1</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Falta el diagrama de despliegue en el D2</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3.1 Diseña modelos de datos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Modelo de datos, diagrama ER (3.2)</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PostgreSQL</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S8</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Joaquín Armijo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Con retraso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Solo existe la tabla de incidentes; el ER completo pasa a S11</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4.2 Integra componentes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Diseño del protocolo de alerta /alert y /health (3.3)</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SRS (CU-04, RF-07)</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S8</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Definido en el SRS; falta especificarlo en el D2</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4.1 Construye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Diseño de interfaz y casos de uso (3.4)</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Figma, draw.io</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S8–S9</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Benjamín Cáceres</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Casos de uso listos; los mockups de la Fase 1 se actualizan en S11</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1.1 Diseña pruebas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Plan de pruebas y criterios de aceptación, D3 (3.5)</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pytest; criterios del SRS</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S9</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carga académica paralela</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Con retraso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Criterios ya definidos en el SRS; el documento pasa a S11</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4.3 Implanta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Diseño Docker: contenedores, redes y volúmenes (3.6)</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Docker</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S9</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Joaquín Armijo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curva de aprendizaje (R10)</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Pasa a S11, junto con los Dockerfiles</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4.1 Construye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Dataset y entrenamiento del modelo → ONNX (4.1)</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Dataset Construction-PPE, YOLO26s, GPU</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S9–S11</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Joaquín Armijo (planificado: 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 dataset público etiquetado · D: no trae la clase no_vest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Cambio de responsable; YOLOv8 → YOLO26; regla por zona para inferir la falta de chaleco</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3.2 Implementa modelos de datos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Base de datos PostgreSQL y migraciones (4.2)</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PostgreSQL</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S9–S10</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 (planificado: Joaquín Armijo)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Migración 001 lista en rama; en integración</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4.1 Construye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API REST en FastAPI (4.3)</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FastAPI, pytest</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S10–S12</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 (planificado: Joaquín Armijo)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dos implementaciones paralelas de POST /incidents</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Se unifican en una rama (Iahn Vera, 15-10)</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4.2 Integra componentes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Firmware de la baliza y receptor simulado (4.4)</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StickS3, Python</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S10–S12</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 receptor simulado: 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hardware en espera</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Primero el receptor simulado</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4.1 Construye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Dashboard web en React.js (4.5)</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React.js</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S10–S13</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Benjamín Cáceres</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Parte en S11</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4.2 Integra componentes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Agente Edge: RTSP e inferencia (4.6)</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OpenCV, RTSP, ONNX Runtime</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S11–S12</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 ya existe un prototipo que envía incidentes a la API</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Adelantado por el prototipo; falta RTSP, ONNX y supresión de repetidas</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4.2 Integra componentes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Alertas remotas por SMS y correo (4.7)</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Twilio, SMTP</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S12–S13</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Benjamín Cáceres</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dependencia de un proveedor externo</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Según el plan</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4.1 Construye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Reportes PDF y Excel (4.8)</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Librerías de reportería</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S13</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Benjamín Cáceres (planificado: Joaquín Armijo)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Se reasigna junto con el dashboard</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1.2 Aplica pruebas</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Pruebas unitarias por componente (4.9)</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pytest</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S10–S13</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Equipo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En curso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Prueba de /health en main; diez de /incidents en integración</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4.3 Implanta la solución</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Dockerfiles, docker-compose, .env y simuladores (4.10–4.11)</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Docker Compose</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S10–S13</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Joaquín Armijo y equipo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 curva de aprendizaje</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Parte en S11; .env.example ya existe</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1.2 · 1.3 · 4.2</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Integración, pruebas de aceptación y corrección de defectos (5.1–5.3)</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Plan de pruebas D3</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S13–S15</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Fernando Muñoz y equipo</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Según el plan</w:t>
            </w:r>
          </w:p>
        </w:tc>
      </w:tr>
      <w:tr>
        <w:trPr>
          <w:cantSplit w:val="0"/>
          <w:tblHeader w:val="0"/>
        </w:trPr>
        <w:tc>
          <w:tcPr>
            <w:tcW w:type="dxa" w:w="1020"/>
          </w:tcPr>
          <w:p w:rsidR="00000000" w:rsidDel="00000000" w:rsidP="00000000" w:rsidRDefault="00000000" w:rsidRPr="00000000" w14:paraId="0000002B">
            <w:pPr>
              <w:jc w:val="left"/>
              <w:rPr>
                <w:b w:val="1"/>
                <w:bCs w:val="1"/>
                <w:sz w:val="18"/>
                <w:szCs w:val="18"/>
              </w:rPr>
            </w:pPr>
            <w:r>
              <w:rPr>
                <w:rFonts w:ascii="Calibri" w:hAnsi="Calibri" w:cs="Calibri" w:eastAsia="Calibri"/>
                <w:b w:val="0"/>
                <w:i w:val="0"/>
                <w:color w:val="000000"/>
                <w:sz w:val="16"/>
              </w:rPr>
              <w:t>4.3 · 2.2</w:t>
            </w:r>
          </w:p>
        </w:tc>
        <w:tc>
          <w:tcPr>
            <w:tcW w:type="dxa" w:w="1417"/>
          </w:tcPr>
          <w:p w:rsidR="00000000" w:rsidDel="00000000" w:rsidP="00000000" w:rsidRDefault="00000000" w:rsidRPr="00000000" w14:paraId="0000002C">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Despliegue con Docker Compose, manual técnico e informe final (6.1–6.2)</w:t>
            </w:r>
          </w:p>
        </w:tc>
        <w:tc>
          <w:tcPr>
            <w:tcW w:type="dxa" w:w="1077"/>
          </w:tcPr>
          <w:p w:rsidR="00000000" w:rsidDel="00000000" w:rsidP="00000000" w:rsidRDefault="00000000" w:rsidRPr="00000000" w14:paraId="0000002D">
            <w:pPr>
              <w:jc w:val="left"/>
              <w:rPr>
                <w:b w:val="1"/>
                <w:bCs w:val="1"/>
                <w:sz w:val="18"/>
                <w:szCs w:val="18"/>
              </w:rPr>
            </w:pPr>
            <w:r>
              <w:rPr>
                <w:rFonts w:ascii="Calibri" w:hAnsi="Calibri" w:cs="Calibri" w:eastAsia="Calibri"/>
                <w:b w:val="0"/>
                <w:i w:val="0"/>
                <w:color w:val="000000"/>
                <w:sz w:val="16"/>
              </w:rPr>
              <w:t>Docker; plantilla 2.6</w:t>
            </w:r>
          </w:p>
        </w:tc>
        <w:tc>
          <w:tcPr>
            <w:tcW w:type="dxa" w:w="624"/>
          </w:tcPr>
          <w:p w:rsidR="00000000" w:rsidDel="00000000" w:rsidP="00000000" w:rsidRDefault="00000000" w:rsidRPr="00000000" w14:paraId="0000002E">
            <w:pPr>
              <w:jc w:val="left"/>
              <w:rPr>
                <w:b w:val="1"/>
                <w:bCs w:val="1"/>
                <w:sz w:val="18"/>
                <w:szCs w:val="18"/>
              </w:rPr>
            </w:pPr>
            <w:r>
              <w:rPr>
                <w:rFonts w:ascii="Calibri" w:hAnsi="Calibri" w:cs="Calibri" w:eastAsia="Calibri"/>
                <w:b w:val="0"/>
                <w:i w:val="0"/>
                <w:color w:val="000000"/>
                <w:sz w:val="16"/>
              </w:rPr>
              <w:t>S14–S15</w:t>
            </w:r>
          </w:p>
        </w:tc>
        <w:tc>
          <w:tcPr>
            <w:tcW w:type="dxa" w:w="1134"/>
          </w:tcPr>
          <w:p w:rsidR="00000000" w:rsidDel="00000000" w:rsidP="00000000" w:rsidRDefault="00000000" w:rsidRPr="00000000" w14:paraId="0000002F">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Joaquín Armijo · Iahn Vera</w:t>
            </w:r>
          </w:p>
        </w:tc>
        <w:tc>
          <w:tcPr>
            <w:tcW w:type="dxa" w:w="1191"/>
          </w:tcPr>
          <w:p w:rsidR="00000000" w:rsidDel="00000000" w:rsidP="00000000" w:rsidRDefault="00000000" w:rsidRPr="00000000" w14:paraId="00000030">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w:t>
            </w:r>
          </w:p>
        </w:tc>
        <w:tc>
          <w:tcPr>
            <w:tcW w:type="dxa" w:w="850"/>
          </w:tcPr>
          <w:p w:rsidR="00000000" w:rsidDel="00000000" w:rsidP="00000000" w:rsidRDefault="00000000" w:rsidRPr="00000000" w14:paraId="00000031">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No iniciado</w:t>
            </w:r>
          </w:p>
        </w:tc>
        <w:tc>
          <w:tcPr>
            <w:tcW w:type="dxa" w:w="1417"/>
          </w:tcPr>
          <w:p w:rsidR="00000000" w:rsidDel="00000000" w:rsidP="00000000" w:rsidRDefault="00000000" w:rsidRPr="00000000" w14:paraId="00000035">
            <w:pPr>
              <w:jc w:val="left"/>
              <w:rPr>
                <w:rFonts w:ascii="Calibri" w:cs="Calibri" w:eastAsia="Calibri" w:hAnsi="Calibri"/>
                <w:i w:val="1"/>
                <w:iCs w:val="1"/>
                <w:color w:val="548dd4"/>
                <w:sz w:val="18"/>
                <w:szCs w:val="18"/>
              </w:rPr>
            </w:pPr>
            <w:r>
              <w:rPr>
                <w:rFonts w:ascii="Calibri" w:hAnsi="Calibri" w:cs="Calibri" w:eastAsia="Calibri"/>
                <w:b w:val="0"/>
                <w:i w:val="0"/>
                <w:color w:val="000000"/>
                <w:sz w:val="16"/>
              </w:rPr>
              <w:t>Según el plan</w:t>
            </w:r>
          </w:p>
        </w:tc>
      </w:tr>
    </w:tbl>
    <w:p w:rsidR="00000000" w:rsidDel="00000000" w:rsidP="00000000" w:rsidRDefault="00000000" w:rsidRPr="00000000" w14:paraId="0000003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A">
            <w:pPr>
              <w:spacing w:after="80"/>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pPr>
              <w:spacing w:after="80"/>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Facilitadores. </w:t>
            </w:r>
            <w:r>
              <w:rPr>
                <w:rFonts w:ascii="Calibri" w:hAnsi="Calibri" w:cs="Calibri" w:eastAsia="Calibri"/>
                <w:b w:val="0"/>
                <w:i w:val="0"/>
                <w:color w:val="000000"/>
                <w:sz w:val="20"/>
              </w:rPr>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Proyecto ya evaluado. </w:t>
            </w:r>
            <w:r>
              <w:rPr>
                <w:rFonts w:ascii="Calibri" w:hAnsi="Calibri" w:cs="Calibri" w:eastAsia="Calibri"/>
                <w:b w:val="0"/>
                <w:i w:val="0"/>
                <w:color w:val="000000"/>
                <w:sz w:val="20"/>
              </w:rPr>
              <w:t>CascoVision viene de Evaluación de Proyectos con alcance, arquitectura y viabilidad económica definidos, lo que permitió cerrar el SRS en tres semanas.</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Dataset público etiquetado. </w:t>
            </w:r>
            <w:r>
              <w:rPr>
                <w:rFonts w:ascii="Calibri" w:hAnsi="Calibri" w:cs="Calibri" w:eastAsia="Calibri"/>
                <w:b w:val="0"/>
                <w:i w:val="0"/>
                <w:color w:val="000000"/>
                <w:sz w:val="20"/>
              </w:rPr>
              <w:t>Construction-PPE de Ultralytics permitió entrenar desde la semana 9 sin esperar imágenes propias.</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Decisiones tempranas. </w:t>
            </w:r>
            <w:r>
              <w:rPr>
                <w:rFonts w:ascii="Calibri" w:hAnsi="Calibri" w:cs="Calibri" w:eastAsia="Calibri"/>
                <w:b w:val="0"/>
                <w:i w:val="0"/>
                <w:color w:val="000000"/>
                <w:sz w:val="20"/>
              </w:rPr>
              <w:t>La metodología, el tipo de alerta y el emisor de la alerta se resolvieron en la semana 7, antes de construir.</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Rama main protegida. </w:t>
            </w:r>
            <w:r>
              <w:rPr>
                <w:rFonts w:ascii="Calibri" w:hAnsi="Calibri" w:cs="Calibri" w:eastAsia="Calibri"/>
                <w:b w:val="0"/>
                <w:i w:val="0"/>
                <w:color w:val="000000"/>
                <w:sz w:val="20"/>
              </w:rPr>
              <w:t>Exigir un pull request aprobado detectó errores antes de integrarlos (rutas absolutas, pesos duplicados, conflictos entre ramas).</w:t>
            </w:r>
          </w:p>
          <w:p>
            <w:pPr>
              <w:spacing w:after="80"/>
              <w:jc w:val="both"/>
              <w:rPr>
                <w:rFonts w:ascii="Calibri" w:cs="Calibri" w:eastAsia="Calibri" w:hAnsi="Calibri"/>
                <w:i w:val="1"/>
                <w:iCs w:val="1"/>
                <w:color w:val="548dd4"/>
                <w:sz w:val="20"/>
                <w:szCs w:val="20"/>
              </w:rPr>
            </w:pPr>
            <w:r>
              <w:rPr>
                <w:rFonts w:ascii="Calibri" w:hAnsi="Calibri" w:cs="Calibri" w:eastAsia="Calibri"/>
                <w:b/>
                <w:i w:val="0"/>
                <w:color w:val="000000"/>
                <w:sz w:val="20"/>
              </w:rPr>
              <w:t xml:space="preserve">Obstaculizadores y acciones. </w:t>
            </w:r>
            <w:r>
              <w:rPr>
                <w:rFonts w:ascii="Calibri" w:hAnsi="Calibri" w:cs="Calibri" w:eastAsia="Calibri"/>
                <w:b w:val="0"/>
                <w:i w:val="0"/>
                <w:color w:val="000000"/>
                <w:sz w:val="20"/>
              </w:rPr>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Carga académica paralela de los cuatro integrantes (R4). </w:t>
            </w:r>
            <w:r>
              <w:rPr>
                <w:rFonts w:ascii="Calibri" w:hAnsi="Calibri" w:cs="Calibri" w:eastAsia="Calibri"/>
                <w:b w:val="0"/>
                <w:i w:val="0"/>
                <w:color w:val="000000"/>
                <w:sz w:val="20"/>
              </w:rPr>
              <w:t>Acción: tareas con un único responsable y seguimiento semanal corto contra la Gantt.</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Trabajo duplicado. </w:t>
            </w:r>
            <w:r>
              <w:rPr>
                <w:rFonts w:ascii="Calibri" w:hAnsi="Calibri" w:cs="Calibri" w:eastAsia="Calibri"/>
                <w:b w:val="0"/>
                <w:i w:val="0"/>
                <w:color w:val="000000"/>
                <w:sz w:val="20"/>
              </w:rPr>
              <w:t>Dos integrantes implementaron POST /incidents por separado (JSON y PostgreSQL). Acción: se unifican en una sola rama, con PostgreSQL y las pruebas de ambos, y se adopta un Issue de GitHub por tarea con responsable asignado.</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Dataset sin la clase no_vest. </w:t>
            </w:r>
            <w:r>
              <w:rPr>
                <w:rFonts w:ascii="Calibri" w:hAnsi="Calibri" w:cs="Calibri" w:eastAsia="Calibri"/>
                <w:b w:val="0"/>
                <w:i w:val="0"/>
                <w:color w:val="000000"/>
                <w:sz w:val="20"/>
              </w:rPr>
              <w:t>Acción: se reinterpreta la clase none según su posición en la caja de la persona (centro vertical ≥ 0,33 indica falta de chaleco), con recall de 0,89 en la regla de chaleco.</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Recall de la regla de casco bajo el umbral (0,757 contra 0,85). </w:t>
            </w:r>
            <w:r>
              <w:rPr>
                <w:rFonts w:ascii="Calibri" w:hAnsi="Calibri" w:cs="Calibri" w:eastAsia="Calibri"/>
                <w:b w:val="0"/>
                <w:i w:val="0"/>
                <w:color w:val="000000"/>
                <w:sz w:val="20"/>
              </w:rPr>
              <w:t>Acción: reentrenamiento priorizando helmet y no_helmet, más imágenes propias.</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Calidad del repositorio. </w:t>
            </w:r>
            <w:r>
              <w:rPr>
                <w:rFonts w:ascii="Calibri" w:hAnsi="Calibri" w:cs="Calibri" w:eastAsia="Calibri"/>
                <w:b w:val="0"/>
                <w:i w:val="0"/>
                <w:color w:val="000000"/>
                <w:sz w:val="20"/>
              </w:rPr>
              <w:t>La subida por la web de GitHub versionó el dataset (~258 MB) y pesos duplicados. Acción: limpieza del repositorio y .gitignore para dataset y corridas.</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Hardware en espera. </w:t>
            </w:r>
            <w:r>
              <w:rPr>
                <w:rFonts w:ascii="Calibri" w:hAnsi="Calibri" w:cs="Calibri" w:eastAsia="Calibri"/>
                <w:b w:val="0"/>
                <w:i w:val="0"/>
                <w:color w:val="000000"/>
                <w:sz w:val="20"/>
              </w:rPr>
              <w:t>Acción: el protocolo /alert se desarrolla contra un receptor simulado; la baliza real se integra al final (R1).</w:t>
            </w:r>
          </w:p>
        </w:tc>
      </w:tr>
    </w:tbl>
    <w:p w:rsidR="00000000" w:rsidDel="00000000" w:rsidP="00000000" w:rsidRDefault="00000000" w:rsidRPr="00000000" w14:paraId="0000004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1">
            <w:pPr>
              <w:spacing w:after="80"/>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Metodología: </w:t>
            </w:r>
            <w:r>
              <w:rPr>
                <w:rFonts w:ascii="Calibri" w:hAnsi="Calibri" w:cs="Calibri" w:eastAsia="Calibri"/>
                <w:b w:val="0"/>
                <w:i w:val="0"/>
                <w:color w:val="000000"/>
                <w:sz w:val="20"/>
              </w:rPr>
              <w:t>de incremental a cascada con puertas de fase. Justificación: observación F6 del docente y coherencia con un plan que ya era secuencial.</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Alerta física: </w:t>
            </w:r>
            <w:r>
              <w:rPr>
                <w:rFonts w:ascii="Calibri" w:hAnsi="Calibri" w:cs="Calibri" w:eastAsia="Calibri"/>
                <w:b w:val="0"/>
                <w:i w:val="0"/>
                <w:color w:val="000000"/>
                <w:sz w:val="20"/>
              </w:rPr>
              <w:t>se eliminó el dispositivo vibratorio portado por el trabajador y se reemplazó por una baliza zonal sonora y visual. Justificación: el sistema no identifica personas (sin biometría), así que no hay a quién dirigir un aviso individual.</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Emisor de la alerta: </w:t>
            </w:r>
            <w:r>
              <w:rPr>
                <w:rFonts w:ascii="Calibri" w:hAnsi="Calibri" w:cs="Calibri" w:eastAsia="Calibri"/>
                <w:b w:val="0"/>
                <w:i w:val="0"/>
                <w:color w:val="000000"/>
                <w:sz w:val="20"/>
              </w:rPr>
              <w:t>la orden a la baliza la envía el agente Edge y no la API. Justificación: se ahorra un salto de red para cumplir la latencia de menos de 5 s y la alerta funciona aunque la API esté caída.</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Docker: </w:t>
            </w:r>
            <w:r>
              <w:rPr>
                <w:rFonts w:ascii="Calibri" w:hAnsi="Calibri" w:cs="Calibri" w:eastAsia="Calibri"/>
                <w:b w:val="0"/>
                <w:i w:val="0"/>
                <w:color w:val="000000"/>
                <w:sz w:val="20"/>
              </w:rPr>
              <w:t>se agregaron el diseño Docker (3.6) y los contenedores (4.10–4.11). Justificación: lo exige el anexo de artefactos del curso.</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Modelo: </w:t>
            </w:r>
            <w:r>
              <w:rPr>
                <w:rFonts w:ascii="Calibri" w:hAnsi="Calibri" w:cs="Calibri" w:eastAsia="Calibri"/>
                <w:b w:val="0"/>
                <w:i w:val="0"/>
                <w:color w:val="000000"/>
                <w:sz w:val="20"/>
              </w:rPr>
              <w:t>de YOLOv8 a YOLO26 y regla por zona para inferir la falta de chaleco. Justificación: versión vigente de Ultralytics y ausencia de la clase no_vest en el dataset.</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Responsables: </w:t>
            </w:r>
            <w:r>
              <w:rPr>
                <w:rFonts w:ascii="Calibri" w:hAnsi="Calibri" w:cs="Calibri" w:eastAsia="Calibri"/>
                <w:b w:val="0"/>
                <w:i w:val="0"/>
                <w:color w:val="000000"/>
                <w:sz w:val="20"/>
              </w:rPr>
              <w:t>el entrenamiento (4.1) pasa a Joaquín Armijo; la base de datos y la API (4.2 y 4.3), a Fernando Muñoz; los reportes (4.8), a Benjamín Cáceres; Iahn Vera toma el agente Edge, el receptor simulado, la integración de ramas y la consolidación del D2. Justificación: formalizar la distribución real y equilibrar el aporte en el repositorio. El equipo validó esta redistribución el 15-10-2026.</w:t>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spacing w:after="80"/>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Aprobación del SRS (con retraso). </w:t>
            </w:r>
            <w:r>
              <w:rPr>
                <w:rFonts w:ascii="Calibri" w:hAnsi="Calibri" w:cs="Calibri" w:eastAsia="Calibri"/>
                <w:b w:val="0"/>
                <w:i w:val="0"/>
                <w:color w:val="000000"/>
                <w:sz w:val="20"/>
              </w:rPr>
              <w:t>Motivo: la v0.3 dejó abiertas decisiones de autenticación, reintentos y salidas de la baliza, y menciona la vibración, que ya se descartó. Estrategia: resolverlas en una reunión y publicar la v1.0 en la semana 11.</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Documento de diseño D2 y modelo ER (con retraso). </w:t>
            </w:r>
            <w:r>
              <w:rPr>
                <w:rFonts w:ascii="Calibri" w:hAnsi="Calibri" w:cs="Calibri" w:eastAsia="Calibri"/>
                <w:b w:val="0"/>
                <w:i w:val="0"/>
                <w:color w:val="000000"/>
                <w:sz w:val="20"/>
              </w:rPr>
              <w:t>Motivo: el equipo priorizó construir para tener evidencias de código en la semana 10. Estrategia: consolidar en la semana 11 las piezas que ya existen (arquitectura, casos de uso, contrato de la API, migración) y agregar el ER, el diagrama de despliegue y el diseño Docker.</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Plan de pruebas D3 (con retraso). </w:t>
            </w:r>
            <w:r>
              <w:rPr>
                <w:rFonts w:ascii="Calibri" w:hAnsi="Calibri" w:cs="Calibri" w:eastAsia="Calibri"/>
                <w:b w:val="0"/>
                <w:i w:val="0"/>
                <w:color w:val="000000"/>
                <w:sz w:val="20"/>
              </w:rPr>
              <w:t>Motivo: carga académica. Estrategia: los criterios ya están en el SRS; en la semana 11 se redactan los casos de prueba sobre las pruebas automatizadas existentes.</w:t>
            </w:r>
          </w:p>
          <w:p>
            <w:pPr>
              <w:tabs>
                <w:tab w:pos="280" w:val="left"/>
              </w:tabs>
              <w:spacing w:after="80"/>
              <w:ind w:left="280" w:hanging="20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Docker, dashboard, firmware y alertas remotas (no iniciados). </w:t>
            </w:r>
            <w:r>
              <w:rPr>
                <w:rFonts w:ascii="Calibri" w:hAnsi="Calibri" w:cs="Calibri" w:eastAsia="Calibri"/>
                <w:b w:val="0"/>
                <w:i w:val="0"/>
                <w:color w:val="000000"/>
                <w:sz w:val="20"/>
              </w:rPr>
              <w:t>Motivo: dependen del diseño, o están planificados desde la semana 10 en adelante. Estrategia: arrancar en la semana 11 con un docker-compose mínimo (base de datos y API) que crezca con cada servicio; el dashboard parte consumiendo la API ya existente; el firmware espera la baliza mientras se valida el protocolo con el receptor simulado.</w:t>
            </w:r>
          </w:p>
          <w:p>
            <w:pPr>
              <w:spacing w:after="80"/>
              <w:jc w:val="both"/>
              <w:rPr>
                <w:rFonts w:ascii="Calibri" w:cs="Calibri" w:eastAsia="Calibri" w:hAnsi="Calibri"/>
                <w:i w:val="1"/>
                <w:iCs w:val="1"/>
                <w:color w:val="548dd4"/>
                <w:sz w:val="20"/>
                <w:szCs w:val="20"/>
              </w:rPr>
            </w:pPr>
            <w:r>
              <w:rPr>
                <w:rFonts w:ascii="Calibri" w:hAnsi="Calibri" w:cs="Calibri" w:eastAsia="Calibri"/>
                <w:b w:val="0"/>
                <w:i w:val="0"/>
                <w:color w:val="000000"/>
                <w:sz w:val="20"/>
              </w:rPr>
              <w:t>Con estas estrategias, la holgura de las semanas 14 y 15 permite absorber el atraso sin mover la entrega final.</w:t>
            </w:r>
          </w:p>
        </w:tc>
      </w:tr>
    </w:tbl>
    <w:p w:rsidR="00000000" w:rsidDel="00000000" w:rsidP="00000000" w:rsidRDefault="00000000" w:rsidRPr="00000000" w14:paraId="00000053">
      <w:pPr>
        <w:rPr/>
      </w:pPr>
      <w:r w:rsidDel="00000000" w:rsidR="00000000" w:rsidRPr="00000000">
        <w:rPr>
          <w:rtl w:val="0"/>
        </w:rPr>
      </w:r>
    </w:p>
    <w:p>
      <w:r>
        <w:br w:type="page"/>
      </w:r>
    </w:p>
    <w:p>
      <w:pPr>
        <w:spacing w:after="120"/>
      </w:pPr>
      <w:r>
        <w:rPr>
          <w:rFonts w:ascii="Calibri" w:hAnsi="Calibri" w:cs="Calibri" w:eastAsia="Calibri"/>
          <w:b/>
          <w:i w:val="0"/>
          <w:color w:val="1F3864"/>
          <w:sz w:val="28"/>
        </w:rPr>
        <w:t>4. Conclusiones</w:t>
      </w:r>
    </w:p>
    <w:p>
      <w:pPr>
        <w:spacing w:after="120"/>
      </w:pPr>
      <w:r>
        <w:rPr>
          <w:rFonts w:ascii="Calibri" w:hAnsi="Calibri" w:cs="Calibri" w:eastAsia="Calibri"/>
          <w:b w:val="0"/>
          <w:i w:val="0"/>
          <w:color w:val="000000"/>
          <w:sz w:val="22"/>
        </w:rPr>
        <w:t>El avance a la semana 10 es real y verificable, pero desigual. La planificación y el análisis están cerrados en contenido, y la construcción ya tiene código, pruebas automatizadas y un modelo con métricas medidas sobre datos de validación. En cambio, dos puertas de fase siguen abiertas (aprobación del SRS y documento de diseño), y la cascada exige cerrarlas para que el resto del plan sea consistente.</w:t>
      </w:r>
    </w:p>
    <w:p>
      <w:pPr>
        <w:spacing w:after="120"/>
      </w:pPr>
      <w:r>
        <w:rPr>
          <w:rFonts w:ascii="Calibri" w:hAnsi="Calibri" w:cs="Calibri" w:eastAsia="Calibri"/>
          <w:b w:val="0"/>
          <w:i w:val="0"/>
          <w:color w:val="000000"/>
          <w:sz w:val="22"/>
        </w:rPr>
        <w:t>El cambio a una metodología en cascada con solapamiento controlado fue correcto: ordenó las decisiones y permitió adelantar el entrenamiento sin depender del diseño. El riesgo principal ya no es técnico sino de coordinación, como mostró la doble implementación del registro de incidentes. Para la entrega final, las prioridades son cerrar el D2 y el D3, integrar la persistencia en PostgreSQL, subir el recall de la regla de casco y levantar el sistema con Docker Compose.</w:t>
      </w:r>
    </w:p>
    <w:p>
      <w:pPr>
        <w:spacing w:after="120"/>
      </w:pPr>
      <w:r>
        <w:rPr>
          <w:rFonts w:ascii="Calibri" w:hAnsi="Calibri" w:cs="Calibri" w:eastAsia="Calibri"/>
          <w:b/>
          <w:i w:val="0"/>
          <w:color w:val="1F3864"/>
          <w:sz w:val="28"/>
        </w:rPr>
        <w:t>5. Individual conclusions and reflections (English)</w:t>
      </w:r>
    </w:p>
    <w:p>
      <w:pPr>
        <w:spacing w:after="60"/>
      </w:pPr>
      <w:r>
        <w:rPr>
          <w:rFonts w:ascii="Calibri" w:hAnsi="Calibri" w:cs="Calibri" w:eastAsia="Calibri"/>
          <w:b/>
          <w:i w:val="0"/>
          <w:color w:val="000000"/>
          <w:sz w:val="24"/>
        </w:rPr>
        <w:t>Iahn Vera — Project lead</w:t>
      </w:r>
    </w:p>
    <w:p>
      <w:pPr>
        <w:spacing w:after="120"/>
      </w:pPr>
      <w:r>
        <w:rPr>
          <w:rFonts w:ascii="Calibri" w:hAnsi="Calibri" w:cs="Calibri" w:eastAsia="Calibri"/>
          <w:b/>
          <w:i w:val="0"/>
          <w:color w:val="000000"/>
          <w:sz w:val="22"/>
        </w:rPr>
        <w:t xml:space="preserve">Conclusion. </w:t>
      </w:r>
      <w:r>
        <w:rPr>
          <w:rFonts w:ascii="Calibri" w:hAnsi="Calibri" w:cs="Calibri" w:eastAsia="Calibri"/>
          <w:b w:val="0"/>
          <w:i w:val="0"/>
          <w:color w:val="000000"/>
          <w:sz w:val="22"/>
        </w:rPr>
        <w:t>At this midpoint, CascoVision has a solid plan and the first working components, but the project is not yet integrated. My main contribution has been coordination: switching to a phase-gate waterfall approach, keeping the requirements consistent, and reviewing each pull request with its tests before it reached the main branch. The model results show that the vest rule already meets the recall target, while the hard-hat rule still needs work.</w:t>
      </w:r>
    </w:p>
    <w:p>
      <w:pPr>
        <w:spacing w:after="120"/>
      </w:pPr>
      <w:r>
        <w:rPr>
          <w:rFonts w:ascii="Calibri" w:hAnsi="Calibri" w:cs="Calibri" w:eastAsia="Calibri"/>
          <w:b/>
          <w:i w:val="0"/>
          <w:color w:val="000000"/>
          <w:sz w:val="22"/>
        </w:rPr>
        <w:t xml:space="preserve">Reflection. </w:t>
      </w:r>
      <w:r>
        <w:rPr>
          <w:rFonts w:ascii="Calibri" w:hAnsi="Calibri" w:cs="Calibri" w:eastAsia="Calibri"/>
          <w:b w:val="0"/>
          <w:i w:val="0"/>
          <w:color w:val="000000"/>
          <w:sz w:val="22"/>
        </w:rPr>
        <w:t>This phase taught me that managing a project is not the same as documenting it. Two of us built the same endpoint without knowing it, and my plan did not show who was actually doing each task. I also realized that my code contribution is too small compared to my teammates’ work. For the rest of the semester I will build the Edge agent and the simulated beacon receiver myself, and I will use one GitHub issue per task so that the plan reflects what really happens.</w:t>
      </w:r>
    </w:p>
    <w:p>
      <w:pPr>
        <w:spacing w:after="60"/>
      </w:pPr>
      <w:r>
        <w:rPr>
          <w:rFonts w:ascii="Calibri" w:hAnsi="Calibri" w:cs="Calibri" w:eastAsia="Calibri"/>
          <w:b/>
          <w:i w:val="0"/>
          <w:color w:val="000000"/>
          <w:sz w:val="24"/>
        </w:rPr>
        <w:t>Joaquín Armijo — AI model</w:t>
      </w:r>
    </w:p>
    <w:p>
      <w:pPr>
        <w:spacing w:after="120"/>
      </w:pPr>
      <w:r>
        <w:rPr>
          <w:rFonts w:ascii="Calibri" w:hAnsi="Calibri" w:cs="Calibri" w:eastAsia="Calibri"/>
          <w:b w:val="0"/>
          <w:i/>
          <w:color w:val="595959"/>
          <w:sz w:val="22"/>
        </w:rPr>
        <w:t>[Pending: individual conclusion and reflection in English, written by the team member.]</w:t>
      </w:r>
    </w:p>
    <w:p>
      <w:pPr>
        <w:spacing w:after="60"/>
      </w:pPr>
      <w:r>
        <w:rPr>
          <w:rFonts w:ascii="Calibri" w:hAnsi="Calibri" w:cs="Calibri" w:eastAsia="Calibri"/>
          <w:b/>
          <w:i w:val="0"/>
          <w:color w:val="000000"/>
          <w:sz w:val="24"/>
        </w:rPr>
        <w:t>Benjamín Cáceres — Dashboard and reporting</w:t>
      </w:r>
    </w:p>
    <w:p>
      <w:pPr>
        <w:spacing w:after="120"/>
      </w:pPr>
      <w:r>
        <w:rPr>
          <w:rFonts w:ascii="Calibri" w:hAnsi="Calibri" w:cs="Calibri" w:eastAsia="Calibri"/>
          <w:b w:val="0"/>
          <w:i/>
          <w:color w:val="595959"/>
          <w:sz w:val="22"/>
        </w:rPr>
        <w:t>[Pending: individual conclusion and reflection in English, written by the team member.]</w:t>
      </w:r>
    </w:p>
    <w:p>
      <w:pPr>
        <w:spacing w:after="60"/>
      </w:pPr>
      <w:r>
        <w:rPr>
          <w:rFonts w:ascii="Calibri" w:hAnsi="Calibri" w:cs="Calibri" w:eastAsia="Calibri"/>
          <w:b/>
          <w:i w:val="0"/>
          <w:color w:val="000000"/>
          <w:sz w:val="24"/>
        </w:rPr>
        <w:t>Fernando Muñoz — API, database and testing</w:t>
      </w:r>
    </w:p>
    <w:p>
      <w:pPr>
        <w:spacing w:after="120"/>
      </w:pPr>
      <w:r>
        <w:rPr>
          <w:rFonts w:ascii="Calibri" w:hAnsi="Calibri" w:cs="Calibri" w:eastAsia="Calibri"/>
          <w:b w:val="0"/>
          <w:i/>
          <w:color w:val="595959"/>
          <w:sz w:val="22"/>
        </w:rPr>
        <w:t>[Pending: individual conclusion and reflection in English, written by the team member.]</w:t>
      </w:r>
    </w:p>
    <w:p>
      <w:pPr>
        <w:spacing w:after="120"/>
      </w:pPr>
      <w:r>
        <w:rPr>
          <w:rFonts w:ascii="Calibri" w:hAnsi="Calibri" w:cs="Calibri" w:eastAsia="Calibri"/>
          <w:b/>
          <w:i w:val="0"/>
          <w:color w:val="1F3864"/>
          <w:sz w:val="28"/>
        </w:rPr>
        <w:t>6. Referencias</w:t>
      </w:r>
    </w:p>
    <w:p>
      <w:pPr>
        <w:spacing w:after="80"/>
        <w:ind w:left="567" w:hanging="567"/>
      </w:pPr>
      <w:r>
        <w:rPr>
          <w:rFonts w:ascii="Calibri" w:hAnsi="Calibri" w:cs="Calibri" w:eastAsia="Calibri"/>
          <w:b w:val="0"/>
          <w:i w:val="0"/>
          <w:color w:val="000000"/>
          <w:sz w:val="22"/>
        </w:rPr>
        <w:t>Biblioteca del Congreso Nacional de Chile. (1968). Ley N° 16.744. Establece normas sobre accidentes del trabajo y enfermedades profesionales. https://www.bcn.cl/leychile</w:t>
      </w:r>
    </w:p>
    <w:p>
      <w:pPr>
        <w:spacing w:after="80"/>
        <w:ind w:left="567" w:hanging="567"/>
      </w:pPr>
      <w:r>
        <w:rPr>
          <w:rFonts w:ascii="Calibri" w:hAnsi="Calibri" w:cs="Calibri" w:eastAsia="Calibri"/>
          <w:b w:val="0"/>
          <w:i w:val="0"/>
          <w:color w:val="000000"/>
          <w:sz w:val="22"/>
        </w:rPr>
        <w:t>Biblioteca del Congreso Nacional de Chile. (1999). Ley N° 19.628. Sobre protección de la vida privada. https://www.bcn.cl/leychile</w:t>
      </w:r>
    </w:p>
    <w:p>
      <w:pPr>
        <w:spacing w:after="80"/>
        <w:ind w:left="567" w:hanging="567"/>
      </w:pPr>
      <w:r>
        <w:rPr>
          <w:rFonts w:ascii="Calibri" w:hAnsi="Calibri" w:cs="Calibri" w:eastAsia="Calibri"/>
          <w:b w:val="0"/>
          <w:i w:val="0"/>
          <w:color w:val="000000"/>
          <w:sz w:val="22"/>
        </w:rPr>
        <w:t>International Organization for Standardization. (2018). ISO 45001:2018. Occupational health and safety management systems — Requirements with guidance for use. ISO.</w:t>
      </w:r>
    </w:p>
    <w:p>
      <w:pPr>
        <w:spacing w:after="80"/>
        <w:ind w:left="567" w:hanging="567"/>
      </w:pPr>
      <w:r>
        <w:rPr>
          <w:rFonts w:ascii="Calibri" w:hAnsi="Calibri" w:cs="Calibri" w:eastAsia="Calibri"/>
          <w:b w:val="0"/>
          <w:i w:val="0"/>
          <w:color w:val="000000"/>
          <w:sz w:val="22"/>
        </w:rPr>
        <w:t>Ramírez, S. (s. f.). FastAPI [Documentación de software]. https://fastapi.tiangolo.com/</w:t>
      </w:r>
    </w:p>
    <w:p>
      <w:pPr>
        <w:spacing w:after="80"/>
        <w:ind w:left="567" w:hanging="567"/>
      </w:pPr>
      <w:r>
        <w:rPr>
          <w:rFonts w:ascii="Calibri" w:hAnsi="Calibri" w:cs="Calibri" w:eastAsia="Calibri"/>
          <w:b w:val="0"/>
          <w:i w:val="0"/>
          <w:color w:val="000000"/>
          <w:sz w:val="22"/>
        </w:rPr>
        <w:t>Royce, W. W. (1970). Managing the development of large software systems. Proceedings of IEEE WESCON, 1–9.</w:t>
      </w:r>
    </w:p>
    <w:p>
      <w:pPr>
        <w:spacing w:after="80"/>
        <w:ind w:left="567" w:hanging="567"/>
      </w:pPr>
      <w:r>
        <w:rPr>
          <w:rFonts w:ascii="Calibri" w:hAnsi="Calibri" w:cs="Calibri" w:eastAsia="Calibri"/>
          <w:b w:val="0"/>
          <w:i w:val="0"/>
          <w:color w:val="000000"/>
          <w:sz w:val="22"/>
        </w:rPr>
        <w:t>Sommerville, I. (2011). Ingeniería de software (9.ª ed.). Pearson Educación.</w:t>
      </w:r>
    </w:p>
    <w:p>
      <w:pPr>
        <w:spacing w:after="80"/>
        <w:ind w:left="567" w:hanging="567"/>
      </w:pPr>
      <w:r>
        <w:rPr>
          <w:rFonts w:ascii="Calibri" w:hAnsi="Calibri" w:cs="Calibri" w:eastAsia="Calibri"/>
          <w:b w:val="0"/>
          <w:i w:val="0"/>
          <w:color w:val="000000"/>
          <w:sz w:val="22"/>
        </w:rPr>
        <w:t>Ultralytics. (s. f.). Construction-PPE dataset [Conjunto de datos]. https://docs.ultralytics.com/datasets/detect/construction-ppe</w:t>
      </w:r>
    </w:p>
    <w:p>
      <w:pPr>
        <w:spacing w:after="80"/>
        <w:ind w:left="567" w:hanging="567"/>
      </w:pPr>
      <w:r>
        <w:rPr>
          <w:rFonts w:ascii="Calibri" w:hAnsi="Calibri" w:cs="Calibri" w:eastAsia="Calibri"/>
          <w:b w:val="0"/>
          <w:i w:val="0"/>
          <w:color w:val="000000"/>
          <w:sz w:val="22"/>
        </w:rPr>
        <w:t>Ultralytics. (s. f.). Ultralytics YOLO [Documentación de software]. https://docs.ultralytics.com/</w:t>
      </w:r>
    </w:p>
    <w:p>
      <w:pPr>
        <w:spacing w:after="80"/>
        <w:ind w:left="567" w:hanging="567"/>
      </w:pPr>
      <w:r>
        <w:rPr>
          <w:rFonts w:ascii="Calibri" w:hAnsi="Calibri" w:cs="Calibri" w:eastAsia="Calibri"/>
          <w:b w:val="0"/>
          <w:i w:val="0"/>
          <w:color w:val="000000"/>
          <w:sz w:val="22"/>
        </w:rPr>
        <w:t>Wu, W., Peng, H., &amp; Yu, S. (2023). YuNet: A tiny millisecond-level face detector. Machine Intelligence Research, 20(5), 656–665.</w:t>
      </w:r>
    </w:p>
    <w:p>
      <w:r>
        <w:br w:type="page"/>
      </w:r>
    </w:p>
    <w:p>
      <w:pPr>
        <w:spacing w:after="120"/>
      </w:pPr>
      <w:r>
        <w:rPr>
          <w:rFonts w:ascii="Calibri" w:hAnsi="Calibri" w:cs="Calibri" w:eastAsia="Calibri"/>
          <w:b/>
          <w:i w:val="0"/>
          <w:color w:val="1F3864"/>
          <w:sz w:val="28"/>
        </w:rPr>
        <w:t>Anexo A. Evidencias de avance en el repositorio</w:t>
      </w:r>
    </w:p>
    <w:p>
      <w:pPr>
        <w:spacing w:after="120"/>
      </w:pPr>
      <w:r>
        <w:rPr>
          <w:rFonts w:ascii="Calibri" w:hAnsi="Calibri" w:cs="Calibri" w:eastAsia="Calibri"/>
          <w:b w:val="0"/>
          <w:i w:val="0"/>
          <w:color w:val="000000"/>
          <w:sz w:val="20"/>
        </w:rPr>
        <w:t>Repositorio: https://github.com/lonelystar16/AV_AldoMartinez802D_Equipo1 · rutas relativas a la raíz. Estado al 15-10-2026.</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firstColumn="1" w:firstRow="1" w:lastColumn="0" w:lastRow="0" w:noHBand="0" w:noVBand="1" w:val="04A0"/>
      </w:tblPr>
      <w:tblGrid>
        <w:gridCol w:w="567"/>
        <w:gridCol w:w="2154"/>
        <w:gridCol w:w="4195"/>
        <w:gridCol w:w="1587"/>
      </w:tblGrid>
      <w:tr>
        <w:trPr>
          <w:tblHeader w:val="true"/>
        </w:trPr>
        <w:tc>
          <w:tcPr>
            <w:tcW w:type="dxa" w:w="567"/>
            <w:shd w:val="clear" w:color="auto" w:fill="1F3864"/>
          </w:tcPr>
          <w:p>
            <w:r>
              <w:rPr>
                <w:rFonts w:ascii="Calibri" w:hAnsi="Calibri" w:cs="Calibri" w:eastAsia="Calibri"/>
                <w:b/>
                <w:i w:val="0"/>
                <w:color w:val="FFFFFF"/>
                <w:sz w:val="18"/>
              </w:rPr>
              <w:t>ID</w:t>
            </w:r>
          </w:p>
        </w:tc>
        <w:tc>
          <w:tcPr>
            <w:tcW w:type="dxa" w:w="2154"/>
            <w:shd w:val="clear" w:color="auto" w:fill="1F3864"/>
          </w:tcPr>
          <w:p>
            <w:r>
              <w:rPr>
                <w:rFonts w:ascii="Calibri" w:hAnsi="Calibri" w:cs="Calibri" w:eastAsia="Calibri"/>
                <w:b/>
                <w:i w:val="0"/>
                <w:color w:val="FFFFFF"/>
                <w:sz w:val="18"/>
              </w:rPr>
              <w:t>Evidencia</w:t>
            </w:r>
          </w:p>
        </w:tc>
        <w:tc>
          <w:tcPr>
            <w:tcW w:type="dxa" w:w="4195"/>
            <w:shd w:val="clear" w:color="auto" w:fill="1F3864"/>
          </w:tcPr>
          <w:p>
            <w:r>
              <w:rPr>
                <w:rFonts w:ascii="Calibri" w:hAnsi="Calibri" w:cs="Calibri" w:eastAsia="Calibri"/>
                <w:b/>
                <w:i w:val="0"/>
                <w:color w:val="FFFFFF"/>
                <w:sz w:val="18"/>
              </w:rPr>
              <w:t>Ubicación</w:t>
            </w:r>
          </w:p>
        </w:tc>
        <w:tc>
          <w:tcPr>
            <w:tcW w:type="dxa" w:w="1587"/>
            <w:shd w:val="clear" w:color="auto" w:fill="1F3864"/>
          </w:tcPr>
          <w:p>
            <w:r>
              <w:rPr>
                <w:rFonts w:ascii="Calibri" w:hAnsi="Calibri" w:cs="Calibri" w:eastAsia="Calibri"/>
                <w:b/>
                <w:i w:val="0"/>
                <w:color w:val="FFFFFF"/>
                <w:sz w:val="18"/>
              </w:rPr>
              <w:t>Rama</w:t>
            </w:r>
          </w:p>
        </w:tc>
      </w:tr>
      <w:tr>
        <w:tc>
          <w:tcPr>
            <w:tcW w:type="dxa" w:w="567"/>
          </w:tcPr>
          <w:p>
            <w:r>
              <w:rPr>
                <w:rFonts w:ascii="Calibri" w:hAnsi="Calibri" w:cs="Calibri" w:eastAsia="Calibri"/>
                <w:b w:val="0"/>
                <w:i w:val="0"/>
                <w:color w:val="000000"/>
                <w:sz w:val="18"/>
              </w:rPr>
              <w:t>E1</w:t>
            </w:r>
          </w:p>
        </w:tc>
        <w:tc>
          <w:tcPr>
            <w:tcW w:type="dxa" w:w="2154"/>
          </w:tcPr>
          <w:p>
            <w:r>
              <w:rPr>
                <w:rFonts w:ascii="Calibri" w:hAnsi="Calibri" w:cs="Calibri" w:eastAsia="Calibri"/>
                <w:b w:val="0"/>
                <w:i w:val="0"/>
                <w:color w:val="000000"/>
                <w:sz w:val="18"/>
              </w:rPr>
              <w:t>SRS (D1) v0.3</w:t>
            </w:r>
          </w:p>
        </w:tc>
        <w:tc>
          <w:tcPr>
            <w:tcW w:type="dxa" w:w="4195"/>
          </w:tcPr>
          <w:p>
            <w:r>
              <w:rPr>
                <w:rFonts w:ascii="Calibri" w:hAnsi="Calibri" w:cs="Calibri" w:eastAsia="Calibri"/>
                <w:b w:val="0"/>
                <w:i w:val="0"/>
                <w:color w:val="000000"/>
                <w:sz w:val="18"/>
              </w:rPr>
              <w:t>Fase 2/Evidencias Grupales/D1_SRS_CascoVision.docx y .pdf</w:t>
            </w:r>
          </w:p>
        </w:tc>
        <w:tc>
          <w:tcPr>
            <w:tcW w:type="dxa" w:w="1587"/>
          </w:tcPr>
          <w:p>
            <w:r>
              <w:rPr>
                <w:rFonts w:ascii="Calibri" w:hAnsi="Calibri" w:cs="Calibri" w:eastAsia="Calibri"/>
                <w:b w:val="0"/>
                <w:i w:val="0"/>
                <w:color w:val="000000"/>
                <w:sz w:val="18"/>
              </w:rPr>
              <w:t>main</w:t>
            </w:r>
          </w:p>
        </w:tc>
      </w:tr>
      <w:tr>
        <w:tc>
          <w:tcPr>
            <w:tcW w:type="dxa" w:w="567"/>
            <w:shd w:val="clear" w:color="auto" w:fill="F2F2F2"/>
          </w:tcPr>
          <w:p>
            <w:r>
              <w:rPr>
                <w:rFonts w:ascii="Calibri" w:hAnsi="Calibri" w:cs="Calibri" w:eastAsia="Calibri"/>
                <w:b w:val="0"/>
                <w:i w:val="0"/>
                <w:color w:val="000000"/>
                <w:sz w:val="18"/>
              </w:rPr>
              <w:t>E2</w:t>
            </w:r>
          </w:p>
        </w:tc>
        <w:tc>
          <w:tcPr>
            <w:tcW w:type="dxa" w:w="2154"/>
            <w:shd w:val="clear" w:color="auto" w:fill="F2F2F2"/>
          </w:tcPr>
          <w:p>
            <w:r>
              <w:rPr>
                <w:rFonts w:ascii="Calibri" w:hAnsi="Calibri" w:cs="Calibri" w:eastAsia="Calibri"/>
                <w:b w:val="0"/>
                <w:i w:val="0"/>
                <w:color w:val="000000"/>
                <w:sz w:val="18"/>
              </w:rPr>
              <w:t>Carta Gantt de la cascada</w:t>
            </w:r>
          </w:p>
        </w:tc>
        <w:tc>
          <w:tcPr>
            <w:tcW w:type="dxa" w:w="4195"/>
            <w:shd w:val="clear" w:color="auto" w:fill="F2F2F2"/>
          </w:tcPr>
          <w:p>
            <w:r>
              <w:rPr>
                <w:rFonts w:ascii="Calibri" w:hAnsi="Calibri" w:cs="Calibri" w:eastAsia="Calibri"/>
                <w:b w:val="0"/>
                <w:i w:val="0"/>
                <w:color w:val="000000"/>
                <w:sz w:val="18"/>
              </w:rPr>
              <w:t>Fase 2/Evidencias Grupales/Gantt_CascoVision_Tradicional.xlsx y .png</w:t>
            </w:r>
          </w:p>
        </w:tc>
        <w:tc>
          <w:tcPr>
            <w:tcW w:type="dxa" w:w="1587"/>
            <w:shd w:val="clear" w:color="auto" w:fill="F2F2F2"/>
          </w:tcPr>
          <w:p>
            <w:r>
              <w:rPr>
                <w:rFonts w:ascii="Calibri" w:hAnsi="Calibri" w:cs="Calibri" w:eastAsia="Calibri"/>
                <w:b w:val="0"/>
                <w:i w:val="0"/>
                <w:color w:val="000000"/>
                <w:sz w:val="18"/>
              </w:rPr>
              <w:t>main</w:t>
            </w:r>
          </w:p>
        </w:tc>
      </w:tr>
      <w:tr>
        <w:tc>
          <w:tcPr>
            <w:tcW w:type="dxa" w:w="567"/>
          </w:tcPr>
          <w:p>
            <w:r>
              <w:rPr>
                <w:rFonts w:ascii="Calibri" w:hAnsi="Calibri" w:cs="Calibri" w:eastAsia="Calibri"/>
                <w:b w:val="0"/>
                <w:i w:val="0"/>
                <w:color w:val="000000"/>
                <w:sz w:val="18"/>
              </w:rPr>
              <w:t>E3</w:t>
            </w:r>
          </w:p>
        </w:tc>
        <w:tc>
          <w:tcPr>
            <w:tcW w:type="dxa" w:w="2154"/>
          </w:tcPr>
          <w:p>
            <w:r>
              <w:rPr>
                <w:rFonts w:ascii="Calibri" w:hAnsi="Calibri" w:cs="Calibri" w:eastAsia="Calibri"/>
                <w:b w:val="0"/>
                <w:i w:val="0"/>
                <w:color w:val="000000"/>
                <w:sz w:val="18"/>
              </w:rPr>
              <w:t>Casos de uso y contrato de la API</w:t>
            </w:r>
          </w:p>
        </w:tc>
        <w:tc>
          <w:tcPr>
            <w:tcW w:type="dxa" w:w="4195"/>
          </w:tcPr>
          <w:p>
            <w:r>
              <w:rPr>
                <w:rFonts w:ascii="Calibri" w:hAnsi="Calibri" w:cs="Calibri" w:eastAsia="Calibri"/>
                <w:b w:val="0"/>
                <w:i w:val="0"/>
                <w:color w:val="000000"/>
                <w:sz w:val="18"/>
              </w:rPr>
              <w:t>Fase 2/Evidencias Proyecto/docs/diagramas/Diagrama_Casos_de_Uso.png · docs/API.md</w:t>
            </w:r>
          </w:p>
        </w:tc>
        <w:tc>
          <w:tcPr>
            <w:tcW w:type="dxa" w:w="1587"/>
          </w:tcPr>
          <w:p>
            <w:r>
              <w:rPr>
                <w:rFonts w:ascii="Calibri" w:hAnsi="Calibri" w:cs="Calibri" w:eastAsia="Calibri"/>
                <w:b w:val="0"/>
                <w:i w:val="0"/>
                <w:color w:val="000000"/>
                <w:sz w:val="18"/>
              </w:rPr>
              <w:t>main</w:t>
            </w:r>
          </w:p>
        </w:tc>
      </w:tr>
      <w:tr>
        <w:tc>
          <w:tcPr>
            <w:tcW w:type="dxa" w:w="567"/>
            <w:shd w:val="clear" w:color="auto" w:fill="F2F2F2"/>
          </w:tcPr>
          <w:p>
            <w:r>
              <w:rPr>
                <w:rFonts w:ascii="Calibri" w:hAnsi="Calibri" w:cs="Calibri" w:eastAsia="Calibri"/>
                <w:b w:val="0"/>
                <w:i w:val="0"/>
                <w:color w:val="000000"/>
                <w:sz w:val="18"/>
              </w:rPr>
              <w:t>E4</w:t>
            </w:r>
          </w:p>
        </w:tc>
        <w:tc>
          <w:tcPr>
            <w:tcW w:type="dxa" w:w="2154"/>
            <w:shd w:val="clear" w:color="auto" w:fill="F2F2F2"/>
          </w:tcPr>
          <w:p>
            <w:r>
              <w:rPr>
                <w:rFonts w:ascii="Calibri" w:hAnsi="Calibri" w:cs="Calibri" w:eastAsia="Calibri"/>
                <w:b w:val="0"/>
                <w:i w:val="0"/>
                <w:color w:val="000000"/>
                <w:sz w:val="18"/>
              </w:rPr>
              <w:t>API FastAPI y prueba</w:t>
            </w:r>
          </w:p>
        </w:tc>
        <w:tc>
          <w:tcPr>
            <w:tcW w:type="dxa" w:w="4195"/>
            <w:shd w:val="clear" w:color="auto" w:fill="F2F2F2"/>
          </w:tcPr>
          <w:p>
            <w:r>
              <w:rPr>
                <w:rFonts w:ascii="Calibri" w:hAnsi="Calibri" w:cs="Calibri" w:eastAsia="Calibri"/>
                <w:b w:val="0"/>
                <w:i w:val="0"/>
                <w:color w:val="000000"/>
                <w:sz w:val="18"/>
              </w:rPr>
              <w:t>Fase 2/Evidencias Proyecto/src/api/app/main.py · tests/test_health.py</w:t>
            </w:r>
          </w:p>
        </w:tc>
        <w:tc>
          <w:tcPr>
            <w:tcW w:type="dxa" w:w="1587"/>
            <w:shd w:val="clear" w:color="auto" w:fill="F2F2F2"/>
          </w:tcPr>
          <w:p>
            <w:r>
              <w:rPr>
                <w:rFonts w:ascii="Calibri" w:hAnsi="Calibri" w:cs="Calibri" w:eastAsia="Calibri"/>
                <w:b w:val="0"/>
                <w:i w:val="0"/>
                <w:color w:val="000000"/>
                <w:sz w:val="18"/>
              </w:rPr>
              <w:t>main</w:t>
            </w:r>
          </w:p>
        </w:tc>
      </w:tr>
      <w:tr>
        <w:tc>
          <w:tcPr>
            <w:tcW w:type="dxa" w:w="567"/>
          </w:tcPr>
          <w:p>
            <w:r>
              <w:rPr>
                <w:rFonts w:ascii="Calibri" w:hAnsi="Calibri" w:cs="Calibri" w:eastAsia="Calibri"/>
                <w:b w:val="0"/>
                <w:i w:val="0"/>
                <w:color w:val="000000"/>
                <w:sz w:val="18"/>
              </w:rPr>
              <w:t>E5</w:t>
            </w:r>
          </w:p>
        </w:tc>
        <w:tc>
          <w:tcPr>
            <w:tcW w:type="dxa" w:w="2154"/>
          </w:tcPr>
          <w:p>
            <w:r>
              <w:rPr>
                <w:rFonts w:ascii="Calibri" w:hAnsi="Calibri" w:cs="Calibri" w:eastAsia="Calibri"/>
                <w:b w:val="0"/>
                <w:i w:val="0"/>
                <w:color w:val="000000"/>
                <w:sz w:val="18"/>
              </w:rPr>
              <w:t>Modelo YOLO26s y métricas</w:t>
            </w:r>
          </w:p>
        </w:tc>
        <w:tc>
          <w:tcPr>
            <w:tcW w:type="dxa" w:w="4195"/>
          </w:tcPr>
          <w:p>
            <w:r>
              <w:rPr>
                <w:rFonts w:ascii="Calibri" w:hAnsi="Calibri" w:cs="Calibri" w:eastAsia="Calibri"/>
                <w:b w:val="0"/>
                <w:i w:val="0"/>
                <w:color w:val="000000"/>
                <w:sz w:val="18"/>
              </w:rPr>
              <w:t>Fase 2/Evidencias Proyecto/Yolo/runs/detect/train-9/ (best.pt, results.csv, curvas, matriz de confusión) · README2.md</w:t>
            </w:r>
          </w:p>
        </w:tc>
        <w:tc>
          <w:tcPr>
            <w:tcW w:type="dxa" w:w="1587"/>
          </w:tcPr>
          <w:p>
            <w:r>
              <w:rPr>
                <w:rFonts w:ascii="Calibri" w:hAnsi="Calibri" w:cs="Calibri" w:eastAsia="Calibri"/>
                <w:b w:val="0"/>
                <w:i w:val="0"/>
                <w:color w:val="000000"/>
                <w:sz w:val="18"/>
              </w:rPr>
              <w:t>main</w:t>
            </w:r>
          </w:p>
        </w:tc>
      </w:tr>
      <w:tr>
        <w:tc>
          <w:tcPr>
            <w:tcW w:type="dxa" w:w="567"/>
            <w:shd w:val="clear" w:color="auto" w:fill="F2F2F2"/>
          </w:tcPr>
          <w:p>
            <w:r>
              <w:rPr>
                <w:rFonts w:ascii="Calibri" w:hAnsi="Calibri" w:cs="Calibri" w:eastAsia="Calibri"/>
                <w:b w:val="0"/>
                <w:i w:val="0"/>
                <w:color w:val="000000"/>
                <w:sz w:val="18"/>
              </w:rPr>
              <w:t>E6</w:t>
            </w:r>
          </w:p>
        </w:tc>
        <w:tc>
          <w:tcPr>
            <w:tcW w:type="dxa" w:w="2154"/>
            <w:shd w:val="clear" w:color="auto" w:fill="F2F2F2"/>
          </w:tcPr>
          <w:p>
            <w:r>
              <w:rPr>
                <w:rFonts w:ascii="Calibri" w:hAnsi="Calibri" w:cs="Calibri" w:eastAsia="Calibri"/>
                <w:b w:val="0"/>
                <w:i w:val="0"/>
                <w:color w:val="000000"/>
                <w:sz w:val="18"/>
              </w:rPr>
              <w:t>Motor de detección y difuminado facial</w:t>
            </w:r>
          </w:p>
        </w:tc>
        <w:tc>
          <w:tcPr>
            <w:tcW w:type="dxa" w:w="4195"/>
            <w:shd w:val="clear" w:color="auto" w:fill="F2F2F2"/>
          </w:tcPr>
          <w:p>
            <w:r>
              <w:rPr>
                <w:rFonts w:ascii="Calibri" w:hAnsi="Calibri" w:cs="Calibri" w:eastAsia="Calibri"/>
                <w:b w:val="0"/>
                <w:i w:val="0"/>
                <w:color w:val="000000"/>
                <w:sz w:val="18"/>
              </w:rPr>
              <w:t>Fase 2/Evidencias Proyecto/Yolo/testing y modelamiento/monitoreo_v2.py (main); motor_cascovision.py y monitoreo_api.py</w:t>
            </w:r>
          </w:p>
        </w:tc>
        <w:tc>
          <w:tcPr>
            <w:tcW w:type="dxa" w:w="1587"/>
            <w:shd w:val="clear" w:color="auto" w:fill="F2F2F2"/>
          </w:tcPr>
          <w:p>
            <w:r>
              <w:rPr>
                <w:rFonts w:ascii="Calibri" w:hAnsi="Calibri" w:cs="Calibri" w:eastAsia="Calibri"/>
                <w:b w:val="0"/>
                <w:i w:val="0"/>
                <w:color w:val="000000"/>
                <w:sz w:val="18"/>
              </w:rPr>
              <w:t>main y rama Yolo26</w:t>
            </w:r>
          </w:p>
        </w:tc>
      </w:tr>
      <w:tr>
        <w:tc>
          <w:tcPr>
            <w:tcW w:type="dxa" w:w="567"/>
          </w:tcPr>
          <w:p>
            <w:r>
              <w:rPr>
                <w:rFonts w:ascii="Calibri" w:hAnsi="Calibri" w:cs="Calibri" w:eastAsia="Calibri"/>
                <w:b w:val="0"/>
                <w:i w:val="0"/>
                <w:color w:val="000000"/>
                <w:sz w:val="18"/>
              </w:rPr>
              <w:t>E7</w:t>
            </w:r>
          </w:p>
        </w:tc>
        <w:tc>
          <w:tcPr>
            <w:tcW w:type="dxa" w:w="2154"/>
          </w:tcPr>
          <w:p>
            <w:r>
              <w:rPr>
                <w:rFonts w:ascii="Calibri" w:hAnsi="Calibri" w:cs="Calibri" w:eastAsia="Calibri"/>
                <w:b w:val="0"/>
                <w:i w:val="0"/>
                <w:color w:val="000000"/>
                <w:sz w:val="18"/>
              </w:rPr>
              <w:t>Persistencia de incidentes en PostgreSQL</w:t>
            </w:r>
          </w:p>
        </w:tc>
        <w:tc>
          <w:tcPr>
            <w:tcW w:type="dxa" w:w="4195"/>
          </w:tcPr>
          <w:p>
            <w:r>
              <w:rPr>
                <w:rFonts w:ascii="Calibri" w:hAnsi="Calibri" w:cs="Calibri" w:eastAsia="Calibri"/>
                <w:b w:val="0"/>
                <w:i w:val="0"/>
                <w:color w:val="000000"/>
                <w:sz w:val="18"/>
              </w:rPr>
              <w:t>Migración 001_create_incidents.sql, POST /incidents, tests/test_incidents.py</w:t>
            </w:r>
          </w:p>
        </w:tc>
        <w:tc>
          <w:tcPr>
            <w:tcW w:type="dxa" w:w="1587"/>
          </w:tcPr>
          <w:p>
            <w:r>
              <w:rPr>
                <w:rFonts w:ascii="Calibri" w:hAnsi="Calibri" w:cs="Calibri" w:eastAsia="Calibri"/>
                <w:b w:val="0"/>
                <w:i w:val="0"/>
                <w:color w:val="000000"/>
                <w:sz w:val="18"/>
              </w:rPr>
              <w:t>Ramas development_02.10.2026 y Yolo26 (en integración)</w:t>
            </w:r>
          </w:p>
        </w:tc>
      </w:tr>
      <w:tr>
        <w:tc>
          <w:tcPr>
            <w:tcW w:type="dxa" w:w="567"/>
            <w:shd w:val="clear" w:color="auto" w:fill="F2F2F2"/>
          </w:tcPr>
          <w:p>
            <w:r>
              <w:rPr>
                <w:rFonts w:ascii="Calibri" w:hAnsi="Calibri" w:cs="Calibri" w:eastAsia="Calibri"/>
                <w:b w:val="0"/>
                <w:i w:val="0"/>
                <w:color w:val="000000"/>
                <w:sz w:val="18"/>
              </w:rPr>
              <w:t>E8</w:t>
            </w:r>
          </w:p>
        </w:tc>
        <w:tc>
          <w:tcPr>
            <w:tcW w:type="dxa" w:w="2154"/>
            <w:shd w:val="clear" w:color="auto" w:fill="F2F2F2"/>
          </w:tcPr>
          <w:p>
            <w:r>
              <w:rPr>
                <w:rFonts w:ascii="Calibri" w:hAnsi="Calibri" w:cs="Calibri" w:eastAsia="Calibri"/>
                <w:b w:val="0"/>
                <w:i w:val="0"/>
                <w:color w:val="000000"/>
                <w:sz w:val="18"/>
              </w:rPr>
              <w:t>Historial y revisión</w:t>
            </w:r>
          </w:p>
        </w:tc>
        <w:tc>
          <w:tcPr>
            <w:tcW w:type="dxa" w:w="4195"/>
            <w:shd w:val="clear" w:color="auto" w:fill="F2F2F2"/>
          </w:tcPr>
          <w:p>
            <w:r>
              <w:rPr>
                <w:rFonts w:ascii="Calibri" w:hAnsi="Calibri" w:cs="Calibri" w:eastAsia="Calibri"/>
                <w:b w:val="0"/>
                <w:i w:val="0"/>
                <w:color w:val="000000"/>
                <w:sz w:val="18"/>
              </w:rPr>
              <w:t>Pull requests #1, #2 y #4; protección de la rama main</w:t>
            </w:r>
          </w:p>
        </w:tc>
        <w:tc>
          <w:tcPr>
            <w:tcW w:type="dxa" w:w="1587"/>
            <w:shd w:val="clear" w:color="auto" w:fill="F2F2F2"/>
          </w:tcPr>
          <w:p>
            <w:r>
              <w:rPr>
                <w:rFonts w:ascii="Calibri" w:hAnsi="Calibri" w:cs="Calibri" w:eastAsia="Calibri"/>
                <w:b w:val="0"/>
                <w:i w:val="0"/>
                <w:color w:val="000000"/>
                <w:sz w:val="18"/>
              </w:rPr>
              <w:t>GitHub</w:t>
            </w:r>
          </w:p>
        </w:tc>
      </w:tr>
    </w:tbl>
    <w:sectPr>
      <w:headerReference r:id="rId8" w:type="default"/>
      <w:footerReference w:type="default" r:id="rId9"/>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b w:val="0"/>
        <w:i w:val="0"/>
        <w:color w:val="000000"/>
        <w:sz w:val="18"/>
      </w:rPr>
      <w:t xml:space="preserve">Página </w:t>
    </w:r>
    <w:r>
      <w:rPr>
        <w:rFonts w:ascii="Calibri" w:hAnsi="Calibri" w:cs="Calibri" w:eastAsia="Calibri"/>
        <w:b w:val="0"/>
        <w:i w:val="0"/>
        <w:color w:val="000000"/>
        <w:sz w:val="18"/>
      </w:rPr>
      <w:fldChar w:fldCharType="begin"/>
    </w:r>
    <w:r>
      <w:rPr>
        <w:rFonts w:ascii="Calibri" w:hAnsi="Calibri" w:cs="Calibri" w:eastAsia="Calibri"/>
        <w:b w:val="0"/>
        <w:i w:val="0"/>
        <w:color w:val="000000"/>
        <w:sz w:val="18"/>
      </w:rPr>
      <w:instrText xml:space="preserve"> PAGE </w:instrText>
    </w:r>
    <w:r>
      <w:rPr>
        <w:rFonts w:ascii="Calibri" w:hAnsi="Calibri" w:cs="Calibri" w:eastAsia="Calibri"/>
        <w:b w:val="0"/>
        <w:i w:val="0"/>
        <w:color w:val="000000"/>
        <w:sz w:val="18"/>
      </w:rPr>
      <w:fldChar w:fldCharType="separate"/>
    </w:r>
    <w:r>
      <w:rPr>
        <w:rFonts w:ascii="Calibri" w:hAnsi="Calibri" w:cs="Calibri" w:eastAsia="Calibri"/>
        <w:b w:val="0"/>
        <w:i w:val="0"/>
        <w:color w:val="000000"/>
        <w:sz w:val="18"/>
      </w:rPr>
      <w:t>1</w:t>
    </w:r>
    <w:r>
      <w:rPr>
        <w:rFonts w:ascii="Calibri" w:hAnsi="Calibri" w:cs="Calibri" w:eastAsia="Calibri"/>
        <w:b w:val="0"/>
        <w:i w:val="0"/>
        <w:color w:val="000000"/>
        <w:sz w:val="18"/>
      </w:rPr>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Informe de avance Fase 2 · CascoVision</dc:title>
  <cp:lastModifiedBy>python-docx</cp:lastModifiedBy>
  <cp:revision>1</cp:revision>
  <dcterms:modified xsi:type="dcterms:W3CDTF">2026-10-16T02:21:20Z</dcterms:modified>
  <dc:creator>Equipo 1 · CascoVision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