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2</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Informe avance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semana 9</w:t>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X</w:t>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2"/>
        <w:gridCol w:w="3105"/>
        <w:gridCol w:w="4291"/>
        <w:gridCol w:w="1428"/>
        <w:gridCol w:w="1428"/>
        <w:tblGridChange w:id="0">
          <w:tblGrid>
            <w:gridCol w:w="2742"/>
            <w:gridCol w:w="3105"/>
            <w:gridCol w:w="4291"/>
            <w:gridCol w:w="1428"/>
            <w:gridCol w:w="1428"/>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457" w:hRule="atLeast"/>
          <w:tblHeader w:val="0"/>
        </w:trPr>
        <w:tc>
          <w:tcPr>
            <w:vMerge w:val="restart"/>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RA2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el Proyecto APT, según los estándares de calidad establecidos por la disciplina.</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Desarrolla las actividades planificadas del proyecto APT, incluyendo las evidencias que cumplen con los estándares definidos por la disciplina.</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 Propone ajustes al Proyecto APT considerando dificultades, facilitadores y retroalimentación. </w:t>
            </w:r>
          </w:p>
        </w:tc>
        <w:tc>
          <w:tcPr>
            <w:vMerge w:val="restart"/>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65</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 Aplica una metodología que permite el logro de los objetivos propuestos, de acuerdo a los estándares de la disciplina.</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20</w:t>
            </w:r>
          </w:p>
        </w:tc>
      </w:tr>
      <w:tr>
        <w:trPr>
          <w:cantSplit w:val="0"/>
          <w:tblHeader w:val="0"/>
        </w:trPr>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 Genera evidencias que dan cuenta del avance del Proyecto APT, de acuerdo a los estándares definidos por la disciplina.</w:t>
            </w:r>
          </w:p>
        </w:tc>
        <w:tc>
          <w:tcPr>
            <w:vMerge w:val="continue"/>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25</w:t>
            </w:r>
          </w:p>
        </w:tc>
      </w:tr>
      <w:tr>
        <w:trPr>
          <w:cantSplit w:val="0"/>
          <w:tblHeader w:val="0"/>
        </w:trPr>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IL 2.3</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aspectos formales requeridos en el informe de avance y final del Proyecto APT.</w:t>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 Utiliza de manera precisa el lenguaje técnico de acuerdo con lo requerido por la disciplina.</w:t>
            </w:r>
          </w:p>
        </w:tc>
        <w:tc>
          <w:tcPr>
            <w:vMerge w:val="restart"/>
            <w:vAlign w:val="center"/>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15</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 Utiliza reglas de redacción, ortografía (literal, puntual, acentual) y las normas para citas y referencias.</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 Cumple con el formato del informe de avance establecido por la disciplina.</w:t>
            </w:r>
          </w:p>
        </w:tc>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5</w:t>
            </w:r>
          </w:p>
        </w:tc>
      </w:tr>
      <w:tr>
        <w:trPr>
          <w:cantSplit w:val="0"/>
          <w:trHeight w:val="428" w:hRule="atLeast"/>
          <w:tblHeader w:val="0"/>
        </w:trPr>
        <w:tc>
          <w:tcPr>
            <w:vMerge w:val="continue"/>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F">
            <w:pPr>
              <w:jc w:val="both"/>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IL 2.4</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Cumple con los indicadores de calidad requeridos en la presentación del informe de avance y final de acuerdo a estándares definidos por la disciplina.</w:t>
            </w:r>
          </w:p>
        </w:tc>
        <w:tc>
          <w:tcPr>
            <w:vAlign w:val="center"/>
          </w:tcPr>
          <w:p w:rsidR="00000000" w:rsidDel="00000000" w:rsidP="00000000" w:rsidRDefault="00000000" w:rsidRPr="00000000" w14:paraId="0000004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vMerge w:val="restart"/>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20</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428" w:hRule="atLeast"/>
          <w:tblHeader w:val="0"/>
        </w:trPr>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Fonts w:ascii="Calibri" w:cs="Calibri" w:eastAsia="Calibri" w:hAnsi="Calibri"/>
                <w:b w:val="0"/>
                <w:bCs w:val="0"/>
                <w:color w:val="000000"/>
                <w:rtl w:val="0"/>
              </w:rPr>
              <w:t xml:space="preserve">8. </w:t>
            </w:r>
            <w:r w:rsidDel="00000000" w:rsidR="00000000" w:rsidRPr="00000000">
              <w:rPr>
                <w:rFonts w:ascii="Calibri" w:cs="Calibri" w:eastAsia="Calibri" w:hAnsi="Calibri"/>
                <w:b w:val="0"/>
                <w:bCs w:val="0"/>
                <w:i w:val="0"/>
                <w:iCs w:val="0"/>
                <w:smallCaps w:val="0"/>
                <w:strike w:val="0"/>
                <w:color w:val="000000"/>
                <w:sz w:val="19"/>
                <w:szCs w:val="19"/>
                <w:u w:val="none"/>
                <w:rtl w:val="0"/>
              </w:rPr>
              <w:t xml:space="preserve">Comunica de forma escrita usando el idioma inglés en situaciones socio- laborales a un nivel intermedio alto en modalidad intensiva.</w:t>
            </w:r>
            <w:r w:rsidDel="00000000" w:rsidR="00000000" w:rsidRPr="00000000">
              <w:rPr>
                <w:rtl w:val="0"/>
              </w:rPr>
            </w:r>
          </w:p>
        </w:tc>
        <w:tc>
          <w:tcPr>
            <w:vMerge w:val="continue"/>
            <w:vAlign w:val="cente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0"/>
                <w:szCs w:val="20"/>
              </w:rPr>
            </w:pP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100%</w:t>
            </w:r>
          </w:p>
        </w:tc>
      </w:tr>
    </w:tbl>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 y se realiza en la semana 9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la autoevaluación debes considerar que tu informe cumpla con: </w:t>
            </w:r>
          </w:p>
          <w:p w:rsidR="00000000" w:rsidDel="00000000" w:rsidP="00000000" w:rsidRDefault="00000000" w:rsidRPr="00000000" w14:paraId="0000005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Ajustes a la propuesta considerando dificultades, facilitadores y la retroalimentación.</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Metodología de trabajo que permita alcanzar metodología y sea pertinente con los requerimientos disciplinares.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Evidencias que dan cuenta del avance del proyecto.</w:t>
            </w:r>
          </w:p>
          <w:p w:rsidR="00000000" w:rsidDel="00000000" w:rsidP="00000000" w:rsidRDefault="00000000" w:rsidRPr="00000000" w14:paraId="0000005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Además, debe cumplir con: </w:t>
            </w:r>
            <w:r w:rsidDel="00000000" w:rsidR="00000000" w:rsidRPr="00000000">
              <w:rPr>
                <w:rtl w:val="0"/>
              </w:rPr>
            </w:r>
          </w:p>
          <w:p w:rsidR="00000000" w:rsidDel="00000000" w:rsidP="00000000" w:rsidRDefault="00000000" w:rsidRPr="00000000" w14:paraId="0000005B">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Fonts w:ascii="Calibri" w:cs="Calibri" w:eastAsia="Calibri" w:hAnsi="Calibri"/>
                <w:b w:val="1"/>
                <w:bCs w:val="1"/>
                <w:i w:val="0"/>
                <w:iCs w:val="0"/>
                <w:smallCaps w:val="0"/>
                <w:color w:val="000000"/>
                <w:sz w:val="22"/>
                <w:szCs w:val="22"/>
                <w:rtl w:val="0"/>
              </w:rPr>
              <w:t xml:space="preserve">Deberán redactar los siguientes apartados según este formato:</w:t>
            </w:r>
            <w:r w:rsidDel="00000000" w:rsidR="00000000" w:rsidRPr="00000000">
              <w:rPr>
                <w:rFonts w:ascii="Calibri" w:cs="Calibri" w:eastAsia="Calibri" w:hAnsi="Calibri"/>
                <w:b w:val="0"/>
                <w:bCs w:val="0"/>
                <w:i w:val="0"/>
                <w:iCs w:val="0"/>
                <w:smallCaps w:val="0"/>
                <w:color w:val="000000"/>
                <w:sz w:val="22"/>
                <w:szCs w:val="22"/>
                <w:rtl w:val="0"/>
              </w:rPr>
              <w:t xml:space="preserve"> </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2">
            <w:pPr>
              <w:spacing w:after="0" w:line="240" w:lineRule="auto"/>
              <w:jc w:val="both"/>
              <w:rPr>
                <w:rFonts w:ascii="Calibri" w:cs="Calibri" w:eastAsia="Calibri" w:hAnsi="Calibri"/>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Aspectos formales: </w:t>
            </w:r>
            <w:r w:rsidDel="00000000" w:rsidR="00000000" w:rsidRPr="00000000">
              <w:rPr>
                <w:rtl w:val="0"/>
              </w:rPr>
            </w:r>
          </w:p>
          <w:p w:rsidR="00000000" w:rsidDel="00000000" w:rsidP="00000000" w:rsidRDefault="00000000" w:rsidRPr="00000000" w14:paraId="00000064">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las reglas de redacción y ortografía. </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Utilización precisa de lenguaje técnico de acuerdo a lo requerido por la disciplina.</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técnico: Portada, índice, abstract, desarrollo de ingeniería, conclusiones y reflexiones individuales.</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 de evidencia (Si corresponde)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avance de tu informe del Proyecto APT.</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el avance de tu Proyecto APT, para identificar fortalezas y aspectos por mejorar.</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el “Desarrollo Proyecto APT”.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indicadores que serán incluidos en la evaluación de esta experiencia (fase2). Pide retroalimentación para mejorar tu proyecto.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autoevaluar 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p>
          <w:p w:rsidR="00000000" w:rsidDel="00000000" w:rsidP="00000000" w:rsidRDefault="00000000" w:rsidRPr="00000000" w14:paraId="0000007D">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Para evaluar el logro del indicador final, “Cumple con los indicadores de calidad requeridos en la presentación del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estos están o no presentes en tu propuesta.</w:t>
            </w:r>
          </w:p>
          <w:p w:rsidR="00000000" w:rsidDel="00000000" w:rsidP="00000000" w:rsidRDefault="00000000" w:rsidRPr="00000000" w14:paraId="0000007F">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85"/>
        <w:gridCol w:w="6705"/>
        <w:tblGridChange w:id="0">
          <w:tblGrid>
            <w:gridCol w:w="6285"/>
            <w:gridCol w:w="670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3">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57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0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5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97">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color="auto"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9B">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9C">
      <w:pPr>
        <w:rPr>
          <w:rFonts w:ascii="Calibri" w:cs="Calibri" w:eastAsia="Calibri" w:hAnsi="Calibri"/>
          <w:color w:val="000000"/>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9D">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9E">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9F">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565" w:hRule="atLeast"/>
          <w:tblHeader w:val="0"/>
        </w:trPr>
        <w:tc>
          <w:tcPr>
            <w:vAlign w:val="center"/>
          </w:tcPr>
          <w:p w:rsidR="00000000" w:rsidDel="00000000" w:rsidP="00000000" w:rsidRDefault="00000000" w:rsidRPr="00000000" w14:paraId="000000A0">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Completamente Logrado</w:t>
            </w:r>
          </w:p>
        </w:tc>
        <w:tc>
          <w:tcPr>
            <w:vAlign w:val="center"/>
          </w:tcPr>
          <w:p w:rsidR="00000000" w:rsidDel="00000000" w:rsidP="00000000" w:rsidRDefault="00000000" w:rsidRPr="00000000" w14:paraId="000000A1">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100%</w:t>
            </w:r>
          </w:p>
        </w:tc>
        <w:tc>
          <w:tcPr>
            <w:vAlign w:val="center"/>
          </w:tcPr>
          <w:p w:rsidR="00000000" w:rsidDel="00000000" w:rsidP="00000000" w:rsidRDefault="00000000" w:rsidRPr="00000000" w14:paraId="000000A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destacado en todos los aspectos evaluados en el indicador. Se considera como el punto óptimo dentro del rango competente.</w:t>
            </w:r>
          </w:p>
        </w:tc>
      </w:tr>
      <w:tr>
        <w:trPr>
          <w:cantSplit w:val="0"/>
          <w:trHeight w:val="504" w:hRule="atLeast"/>
          <w:tblHeader w:val="0"/>
        </w:trPr>
        <w:tc>
          <w:tcP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A4">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60%</w:t>
            </w:r>
          </w:p>
        </w:tc>
        <w:tc>
          <w:tcPr>
            <w:vAlign w:val="center"/>
          </w:tcPr>
          <w:p w:rsidR="00000000" w:rsidDel="00000000" w:rsidP="00000000" w:rsidRDefault="00000000" w:rsidRPr="00000000" w14:paraId="000000A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Demuestra  logro en los elementos básicos del indicador, las  omisiones, dificultades o errores le permiten ser considerado competente.</w:t>
            </w:r>
          </w:p>
        </w:tc>
      </w:tr>
      <w:tr>
        <w:trPr>
          <w:cantSplit w:val="0"/>
          <w:trHeight w:val="411" w:hRule="atLeast"/>
          <w:tblHeader w:val="0"/>
        </w:trPr>
        <w:tc>
          <w:tcPr>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A7">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30%</w:t>
            </w:r>
          </w:p>
        </w:tc>
        <w:tc>
          <w:tcPr>
            <w:vAlign w:val="center"/>
          </w:tcPr>
          <w:p w:rsidR="00000000" w:rsidDel="00000000" w:rsidP="00000000" w:rsidRDefault="00000000" w:rsidRPr="00000000" w14:paraId="000000A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importantes omisiones, dificultades o errores que no permiten evidenciar los elementos básicos del logro del indicador, por lo que no puede ser considerado competente.</w:t>
            </w:r>
          </w:p>
        </w:tc>
      </w:tr>
      <w:tr>
        <w:trPr>
          <w:cantSplit w:val="0"/>
          <w:trHeight w:val="266" w:hRule="atLeast"/>
          <w:tblHeader w:val="0"/>
        </w:trPr>
        <w:tc>
          <w:tcPr>
            <w:vAlign w:val="center"/>
          </w:tcPr>
          <w:p w:rsidR="00000000" w:rsidDel="00000000" w:rsidP="00000000" w:rsidRDefault="00000000" w:rsidRPr="00000000" w14:paraId="000000A9">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No Logrado</w:t>
            </w:r>
          </w:p>
        </w:tc>
        <w:tc>
          <w:tcPr>
            <w:vAlign w:val="center"/>
          </w:tcPr>
          <w:p w:rsidR="00000000" w:rsidDel="00000000" w:rsidP="00000000" w:rsidRDefault="00000000" w:rsidRPr="00000000" w14:paraId="000000AA">
            <w:pPr>
              <w:jc w:val="center"/>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0%</w:t>
            </w:r>
          </w:p>
        </w:tc>
        <w:tc>
          <w:tcPr>
            <w:vAlign w:val="center"/>
          </w:tcPr>
          <w:p w:rsidR="00000000" w:rsidDel="00000000" w:rsidP="00000000" w:rsidRDefault="00000000" w:rsidRPr="00000000" w14:paraId="000000A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Presenta ausencia o incorrecto logro de los aspectos evaluados en el indicador.</w:t>
            </w:r>
          </w:p>
        </w:tc>
      </w:tr>
    </w:tbl>
    <w:p w:rsidR="00000000" w:rsidDel="00000000" w:rsidP="00000000" w:rsidRDefault="00000000" w:rsidRPr="00000000" w14:paraId="000000AC">
      <w:pPr>
        <w:rPr>
          <w:rFonts w:ascii="Calibri" w:cs="Calibri" w:eastAsia="Calibri" w:hAnsi="Calibri"/>
          <w:color w:val="000000"/>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415"/>
        <w:gridCol w:w="2460"/>
        <w:gridCol w:w="2415"/>
        <w:gridCol w:w="2115"/>
        <w:gridCol w:w="2140"/>
        <w:gridCol w:w="1449"/>
        <w:tblGridChange w:id="0">
          <w:tblGrid>
            <w:gridCol w:w="2415"/>
            <w:gridCol w:w="2460"/>
            <w:gridCol w:w="2415"/>
            <w:gridCol w:w="2115"/>
            <w:gridCol w:w="2140"/>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A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A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2">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c>
          <w:tcPr>
            <w:shd w:fill="262626" w:val="clear"/>
            <w:vAlign w:val="center"/>
          </w:tcPr>
          <w:p w:rsidR="00000000" w:rsidDel="00000000" w:rsidP="00000000" w:rsidRDefault="00000000" w:rsidRPr="00000000" w14:paraId="000000B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w:t>
            </w:r>
            <w:r w:rsidDel="00000000" w:rsidR="00000000" w:rsidRPr="00000000">
              <w:rPr>
                <w:rFonts w:ascii="Calibri" w:cs="Calibri" w:eastAsia="Calibri" w:hAnsi="Calibri"/>
                <w:b w:val="1"/>
                <w:bCs w:val="1"/>
                <w:color w:val="ffffff"/>
                <w:rtl w:val="0"/>
              </w:rPr>
              <w:t xml:space="preserve">  (100%)</w:t>
            </w:r>
          </w:p>
        </w:tc>
        <w:tc>
          <w:tcPr>
            <w:shd w:fill="262626" w:val="clear"/>
            <w:vAlign w:val="center"/>
          </w:tcPr>
          <w:p w:rsidR="00000000" w:rsidDel="00000000" w:rsidP="00000000" w:rsidRDefault="00000000" w:rsidRPr="00000000" w14:paraId="000000B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B7">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B8">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color w:val="ffffff"/>
              </w:rPr>
            </w:pPr>
            <w:r w:rsidDel="00000000" w:rsidR="00000000" w:rsidRPr="00000000">
              <w:rPr>
                <w:rtl w:val="0"/>
              </w:rPr>
            </w:r>
          </w:p>
        </w:tc>
      </w:tr>
      <w:tr>
        <w:trPr>
          <w:cantSplit w:val="0"/>
          <w:trHeight w:val="567" w:hRule="atLeast"/>
          <w:tblHeader w:val="0"/>
        </w:trPr>
        <w:tc>
          <w:tcPr/>
          <w:p w:rsidR="00000000" w:rsidDel="00000000" w:rsidP="00000000" w:rsidRDefault="00000000" w:rsidRPr="00000000" w14:paraId="000000B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 Propone ajustes al Proyecto APT considerando dificultades, facilitadores y retroalimentación. </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B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y retroalimentación del docente.</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B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y los  justifiqué considerando las dificultades, facilitadores o retroalimentación del docente.</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B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Señalé los ajustes que  realicé o  realizaré , pero no los  justifiqué.</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B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ajustes ni  justifiqué por qué mantuve el plan inicial.</w:t>
            </w:r>
          </w:p>
        </w:tc>
        <w:tc>
          <w:tcPr>
            <w:vAlign w:val="center"/>
          </w:tcPr>
          <w:p w:rsidR="00000000" w:rsidDel="00000000" w:rsidP="00000000" w:rsidRDefault="00000000" w:rsidRPr="00000000" w14:paraId="000000C0">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 Aplica una metodología que permite el logro de los objetivos propuestos, de acuerdo a los estándares de la disciplina.</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C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alcanzando los objetivos propuestos para el avance del proyecto. </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C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de acuerdo a los estándares de la disciplina, pero no se observa el cumplimiento de objetivos propuestos para el avance del proyecto. </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C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cumpliendo parcialmente con los estándares de la disciplina y con los objetivos propuestos para el avance del proyecto. </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C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Apliqué la metodología definida sin cumplir los estándares de la disciplina ni los objetivos propuestos para el avance del proyecto. </w:t>
            </w:r>
          </w:p>
        </w:tc>
        <w:tc>
          <w:tcPr>
            <w:vAlign w:val="center"/>
          </w:tcPr>
          <w:p w:rsidR="00000000" w:rsidDel="00000000" w:rsidP="00000000" w:rsidRDefault="00000000" w:rsidRPr="00000000" w14:paraId="000000C6">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20</w:t>
            </w:r>
          </w:p>
        </w:tc>
      </w:tr>
      <w:tr>
        <w:trPr>
          <w:cantSplit w:val="0"/>
          <w:trHeight w:val="567" w:hRule="atLeast"/>
          <w:tblHeader w:val="0"/>
        </w:trPr>
        <w:tc>
          <w:tcPr/>
          <w:p w:rsidR="00000000" w:rsidDel="00000000" w:rsidP="00000000" w:rsidRDefault="00000000" w:rsidRPr="00000000" w14:paraId="000000C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 Genera evidencias que dan cuenta del avance del Proyecto APT, de acuerdo a los estándares definidos por la disciplina.</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C8">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cumplen los estándares de la disciplina.</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C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menores de acuerdo a los estándares de la disciplina. </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C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requieren ajustes mayores de acuerdo a los estándares de la disciplina.</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C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Presenté evidencias de avance que no cumplen los estándares de la disciplina.</w:t>
            </w:r>
          </w:p>
        </w:tc>
        <w:tc>
          <w:tcPr>
            <w:vAlign w:val="center"/>
          </w:tcPr>
          <w:p w:rsidR="00000000" w:rsidDel="00000000" w:rsidP="00000000" w:rsidRDefault="00000000" w:rsidRPr="00000000" w14:paraId="000000CC">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25</w:t>
            </w:r>
          </w:p>
        </w:tc>
      </w:tr>
      <w:tr>
        <w:trPr>
          <w:cantSplit w:val="0"/>
          <w:trHeight w:val="567" w:hRule="atLeast"/>
          <w:tblHeader w:val="0"/>
        </w:trPr>
        <w:tc>
          <w:tcPr/>
          <w:p w:rsidR="00000000" w:rsidDel="00000000" w:rsidP="00000000" w:rsidRDefault="00000000" w:rsidRPr="00000000" w14:paraId="000000C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 Utiliza de manera precisa el lenguaje técnico de acuerdo con lo requerido por la disciplina.</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CE">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siempre de manera precisa. </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C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la mayoría de las veces de manera precisa.</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D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Utilicé lenguaje técnico de mi disciplina pocas veces o casi nunca de manera precisa. </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D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No utilicé de manera precisa el lenguaje técnico de mi disciplina. </w:t>
            </w:r>
          </w:p>
        </w:tc>
        <w:tc>
          <w:tcPr>
            <w:vAlign w:val="center"/>
          </w:tcPr>
          <w:p w:rsidR="00000000" w:rsidDel="00000000" w:rsidP="00000000" w:rsidRDefault="00000000" w:rsidRPr="00000000" w14:paraId="000000D2">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5. Utiliza reglas de redacción, ortografía (literal, puntual, acentual) y las normas para citas y referencias. </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D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D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D6">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D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D8">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p w:rsidR="00000000" w:rsidDel="00000000" w:rsidP="00000000" w:rsidRDefault="00000000" w:rsidRPr="00000000" w14:paraId="000000D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6. Cumple con el formato del informe de avance establecido por la disciplina.</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DA">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todos los aspectos del formato establecido por la disciplina.</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D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más de la mitad de los aspectos del formato establecido por la disciplina.</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DC">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la mitad de los aspectos del formato establecido por la disciplina.</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D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de avance cumple con menos de la mitad de los aspectos del formato establecido por la disciplina.</w:t>
            </w:r>
          </w:p>
        </w:tc>
        <w:tc>
          <w:tcPr>
            <w:vAlign w:val="center"/>
          </w:tcPr>
          <w:p w:rsidR="00000000" w:rsidDel="00000000" w:rsidP="00000000" w:rsidRDefault="00000000" w:rsidRPr="00000000" w14:paraId="000000D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5</w:t>
            </w:r>
          </w:p>
        </w:tc>
      </w:tr>
      <w:tr>
        <w:trPr>
          <w:cantSplit w:val="0"/>
          <w:trHeight w:val="567" w:hRule="atLeast"/>
          <w:tblHeader w:val="0"/>
        </w:trPr>
        <w:tc>
          <w:tcPr>
            <w:vAlign w:val="center"/>
          </w:tcPr>
          <w:p w:rsidR="00000000" w:rsidDel="00000000" w:rsidP="00000000" w:rsidRDefault="00000000" w:rsidRPr="00000000" w14:paraId="000000D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7. Cumple con los indicadores de calidad requeridos en la presentación del informe de avance y final de acuerdo a estándares definidos por la disciplina.</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E0">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desarrollo del Proyecto APT.</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E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desarrollo del Proyecto APT.</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E2">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desarrollo del Proyecto APT.</w:t>
            </w:r>
          </w:p>
        </w:tc>
        <w:tc>
          <w:tcPr/>
          <w:p>
            <w:pPr>
              <w:jc w:val="both"/>
              <w:rPr>
                <w:rFonts w:ascii="Calibri" w:cs="Calibri" w:eastAsia="Calibri" w:hAnsi="Calibri"/>
                <w:color w:val="000000"/>
              </w:rPr>
            </w:pPr>
            <w:r>
              <w:rPr>
                <w:rFonts w:ascii="Calibri" w:hAnsi="Calibri" w:cs="Calibri" w:eastAsia="Calibri"/>
                <w:b/>
                <w:i w:val="0"/>
                <w:color w:val="000000"/>
                <w:sz w:val="24"/>
              </w:rPr>
              <w:t>☐</w:t>
            </w:r>
          </w:p>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desarrollo del Proyecto APT.</w:t>
            </w:r>
          </w:p>
        </w:tc>
        <w:tc>
          <w:tcPr>
            <w:vAlign w:val="center"/>
          </w:tcPr>
          <w:p w:rsidR="00000000" w:rsidDel="00000000" w:rsidP="00000000" w:rsidRDefault="00000000" w:rsidRPr="00000000" w14:paraId="000000E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67" w:hRule="atLeast"/>
          <w:tblHeader w:val="0"/>
        </w:trPr>
        <w:tc>
          <w:tcPr>
            <w:vAlign w:val="center"/>
          </w:tcPr>
          <w:p w:rsidR="00000000" w:rsidDel="00000000" w:rsidP="00000000" w:rsidRDefault="00000000" w:rsidRPr="00000000" w14:paraId="000000E5">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8. Comunica de forma escrita usando el idioma inglés en situaciones socio- laborales a un nivel intermedio alto en modalidad intensiva.</w:t>
            </w:r>
          </w:p>
          <w:p w:rsidR="00000000" w:rsidDel="00000000" w:rsidP="00000000" w:rsidRDefault="00000000" w:rsidRPr="00000000" w14:paraId="000000E6">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pPr>
              <w:spacing w:after="0" w:line="240" w:lineRule="auto"/>
              <w:jc w:val="both"/>
              <w:rPr>
                <w:rFonts w:ascii="Calibri" w:cs="Calibri" w:eastAsia="Calibri" w:hAnsi="Calibri"/>
                <w:b w:val="0"/>
                <w:bCs w:val="0"/>
                <w:i w:val="0"/>
                <w:iCs w:val="0"/>
                <w:smallCaps w:val="0"/>
                <w:color w:val="000000"/>
                <w:sz w:val="20"/>
                <w:szCs w:val="20"/>
              </w:rPr>
            </w:pPr>
            <w:r>
              <w:rPr>
                <w:rFonts w:ascii="Calibri" w:hAnsi="Calibri" w:cs="Calibri" w:eastAsia="Calibri"/>
                <w:b/>
                <w:i w:val="0"/>
                <w:color w:val="000000"/>
                <w:sz w:val="24"/>
              </w:rPr>
              <w:t>☐</w:t>
            </w:r>
          </w:p>
          <w:p w:rsidR="00000000" w:rsidDel="00000000" w:rsidP="00000000" w:rsidRDefault="00000000" w:rsidRPr="00000000" w14:paraId="000000E8">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100% en un nivel intermedio alto según lo solicitado.</w:t>
            </w:r>
          </w:p>
        </w:tc>
        <w:tc>
          <w:tcPr/>
          <w:p>
            <w:pPr>
              <w:spacing w:after="0" w:line="240" w:lineRule="auto"/>
              <w:jc w:val="both"/>
              <w:rPr>
                <w:rFonts w:ascii="Calibri" w:cs="Calibri" w:eastAsia="Calibri" w:hAnsi="Calibri"/>
                <w:b w:val="0"/>
                <w:bCs w:val="0"/>
                <w:i w:val="0"/>
                <w:iCs w:val="0"/>
                <w:smallCaps w:val="0"/>
                <w:color w:val="000000"/>
                <w:sz w:val="20"/>
                <w:szCs w:val="20"/>
              </w:rPr>
            </w:pPr>
            <w:r>
              <w:rPr>
                <w:rFonts w:ascii="Calibri" w:hAnsi="Calibri" w:cs="Calibri" w:eastAsia="Calibri"/>
                <w:b/>
                <w:i w:val="0"/>
                <w:color w:val="000000"/>
                <w:sz w:val="24"/>
              </w:rPr>
              <w:t>☒</w:t>
            </w:r>
          </w:p>
          <w:p w:rsidR="00000000" w:rsidDel="00000000" w:rsidP="00000000" w:rsidRDefault="00000000" w:rsidRPr="00000000" w14:paraId="000000E9">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60% en un nivel intermedio alto según lo solicitado.</w:t>
            </w:r>
          </w:p>
          <w:p w:rsidR="00000000" w:rsidDel="00000000" w:rsidP="00000000" w:rsidRDefault="00000000" w:rsidRPr="00000000" w14:paraId="000000EA">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pPr>
              <w:spacing w:after="0" w:line="240" w:lineRule="auto"/>
              <w:jc w:val="both"/>
              <w:rPr>
                <w:rFonts w:ascii="Calibri" w:cs="Calibri" w:eastAsia="Calibri" w:hAnsi="Calibri"/>
                <w:b w:val="0"/>
                <w:bCs w:val="0"/>
                <w:i w:val="0"/>
                <w:iCs w:val="0"/>
                <w:smallCaps w:val="0"/>
                <w:color w:val="000000"/>
                <w:sz w:val="20"/>
                <w:szCs w:val="20"/>
              </w:rPr>
            </w:pPr>
            <w:r>
              <w:rPr>
                <w:rFonts w:ascii="Calibri" w:hAnsi="Calibri" w:cs="Calibri" w:eastAsia="Calibri"/>
                <w:b/>
                <w:i w:val="0"/>
                <w:color w:val="000000"/>
                <w:sz w:val="24"/>
              </w:rPr>
              <w:t>☐</w:t>
            </w:r>
          </w:p>
          <w:p w:rsidR="00000000" w:rsidDel="00000000" w:rsidP="00000000" w:rsidRDefault="00000000" w:rsidRPr="00000000" w14:paraId="000000EB">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comunicando en un 30% en un nivel intermedio alto lo solicitado.</w:t>
            </w:r>
          </w:p>
          <w:p w:rsidR="00000000" w:rsidDel="00000000" w:rsidP="00000000" w:rsidRDefault="00000000" w:rsidRPr="00000000" w14:paraId="000000EC">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tl w:val="0"/>
              </w:rPr>
            </w:r>
          </w:p>
        </w:tc>
        <w:tc>
          <w:tcPr/>
          <w:p>
            <w:pPr>
              <w:spacing w:after="0" w:line="240" w:lineRule="auto"/>
              <w:jc w:val="both"/>
              <w:rPr>
                <w:rFonts w:ascii="Calibri" w:cs="Calibri" w:eastAsia="Calibri" w:hAnsi="Calibri"/>
                <w:b w:val="0"/>
                <w:bCs w:val="0"/>
                <w:i w:val="0"/>
                <w:iCs w:val="0"/>
                <w:smallCaps w:val="0"/>
                <w:color w:val="000000"/>
                <w:sz w:val="20"/>
                <w:szCs w:val="20"/>
              </w:rPr>
            </w:pPr>
            <w:r>
              <w:rPr>
                <w:rFonts w:ascii="Calibri" w:hAnsi="Calibri" w:cs="Calibri" w:eastAsia="Calibri"/>
                <w:b/>
                <w:i w:val="0"/>
                <w:color w:val="000000"/>
                <w:sz w:val="24"/>
              </w:rPr>
              <w:t>☐</w:t>
            </w:r>
          </w:p>
          <w:p w:rsidR="00000000" w:rsidDel="00000000" w:rsidP="00000000" w:rsidRDefault="00000000" w:rsidRPr="00000000" w14:paraId="000000ED">
            <w:pPr>
              <w:spacing w:after="0" w:line="240" w:lineRule="auto"/>
              <w:jc w:val="both"/>
              <w:rPr>
                <w:rFonts w:ascii="Calibri" w:cs="Calibri" w:eastAsia="Calibri" w:hAnsi="Calibri"/>
                <w:b w:val="0"/>
                <w:bCs w:val="0"/>
                <w:i w:val="0"/>
                <w:iCs w:val="0"/>
                <w:smallCaps w:val="0"/>
                <w:color w:val="000000"/>
                <w:sz w:val="20"/>
                <w:szCs w:val="20"/>
              </w:rPr>
            </w:pPr>
            <w:r w:rsidDel="00000000" w:rsidR="00000000" w:rsidRPr="00000000">
              <w:rPr>
                <w:rFonts w:ascii="Calibri" w:cs="Calibri" w:eastAsia="Calibri" w:hAnsi="Calibri"/>
                <w:b w:val="0"/>
                <w:bCs w:val="0"/>
                <w:i w:val="0"/>
                <w:iCs w:val="0"/>
                <w:smallCaps w:val="0"/>
                <w:color w:val="000000"/>
                <w:sz w:val="20"/>
                <w:szCs w:val="20"/>
                <w:rtl w:val="0"/>
              </w:rPr>
              <w:t xml:space="preserve">Redacta los apartados solicitados en inglés, pero no logra el desarrollo de las ideas solicitadas en un nivel intermedio alto.</w:t>
            </w:r>
          </w:p>
        </w:tc>
        <w:tc>
          <w:tcPr>
            <w:vAlign w:val="center"/>
          </w:tcPr>
          <w:p w:rsidR="00000000" w:rsidDel="00000000" w:rsidP="00000000" w:rsidRDefault="00000000" w:rsidRPr="00000000" w14:paraId="000000EE">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EF">
            <w:pPr>
              <w:jc w:val="righ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Total</w:t>
            </w:r>
          </w:p>
        </w:tc>
        <w:tc>
          <w:tcPr>
            <w:vAlign w:val="center"/>
          </w:tcPr>
          <w:p w:rsidR="00000000" w:rsidDel="00000000" w:rsidP="00000000" w:rsidRDefault="00000000" w:rsidRPr="00000000" w14:paraId="000000F4">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100%</w:t>
            </w:r>
          </w:p>
        </w:tc>
      </w:tr>
    </w:tbl>
    <w:p w:rsidR="00000000" w:rsidDel="00000000" w:rsidP="00000000" w:rsidRDefault="00000000" w:rsidRPr="00000000" w14:paraId="000000F5">
      <w:pPr>
        <w:rPr>
          <w:rFonts w:ascii="Calibri" w:cs="Calibri" w:eastAsia="Calibri" w:hAnsi="Calibri"/>
          <w:color w:val="000000"/>
          <w:sz w:val="22"/>
          <w:szCs w:val="22"/>
          <w:u w:val="single"/>
        </w:rPr>
      </w:pPr>
      <w:bookmarkStart w:colFirst="0" w:colLast="0" w:name="_pr5qk61yt0ww" w:id="0"/>
      <w:bookmarkEnd w:id="0"/>
      <w:r w:rsidDel="00000000" w:rsidR="00000000" w:rsidRPr="00000000">
        <w:rPr>
          <w:rtl w:val="0"/>
        </w:rPr>
      </w:r>
    </w:p>
    <w:p>
      <w:r>
        <w:br w:type="page"/>
      </w:r>
    </w:p>
    <w:p>
      <w:pPr>
        <w:spacing w:after="80"/>
      </w:pPr>
      <w:r>
        <w:rPr>
          <w:rFonts w:ascii="Calibri" w:hAnsi="Calibri" w:cs="Calibri" w:eastAsia="Calibri"/>
          <w:b/>
          <w:i w:val="0"/>
          <w:color w:val="1F3864"/>
          <w:sz w:val="28"/>
        </w:rPr>
        <w:t>Resultado de la autoevaluación</w:t>
      </w:r>
    </w:p>
    <w:p>
      <w:pPr>
        <w:spacing w:after="120"/>
      </w:pPr>
      <w:r>
        <w:rPr>
          <w:rFonts w:ascii="Calibri" w:hAnsi="Calibri" w:cs="Calibri" w:eastAsia="Calibri"/>
          <w:b/>
          <w:i w:val="0"/>
          <w:color w:val="000000"/>
          <w:sz w:val="22"/>
        </w:rPr>
        <w:t xml:space="preserve">Estudiante: </w:t>
      </w:r>
      <w:r>
        <w:rPr>
          <w:rFonts w:ascii="Calibri" w:hAnsi="Calibri" w:cs="Calibri" w:eastAsia="Calibri"/>
          <w:b w:val="0"/>
          <w:i w:val="0"/>
          <w:color w:val="000000"/>
          <w:sz w:val="22"/>
        </w:rPr>
        <w:t xml:space="preserve">Iahn Vera · </w:t>
      </w:r>
      <w:r>
        <w:rPr>
          <w:rFonts w:ascii="Calibri" w:hAnsi="Calibri" w:cs="Calibri" w:eastAsia="Calibri"/>
          <w:b/>
          <w:i w:val="0"/>
          <w:color w:val="000000"/>
          <w:sz w:val="22"/>
        </w:rPr>
        <w:t xml:space="preserve">Proyecto APT: </w:t>
      </w:r>
      <w:r>
        <w:rPr>
          <w:rFonts w:ascii="Calibri" w:hAnsi="Calibri" w:cs="Calibri" w:eastAsia="Calibri"/>
          <w:b w:val="0"/>
          <w:i w:val="0"/>
          <w:color w:val="000000"/>
          <w:sz w:val="22"/>
        </w:rPr>
        <w:t xml:space="preserve">CascoVision — Sistema de detección automatizada de EPP mediante visión computacional · </w:t>
      </w:r>
      <w:r>
        <w:rPr>
          <w:rFonts w:ascii="Calibri" w:hAnsi="Calibri" w:cs="Calibri" w:eastAsia="Calibri"/>
          <w:b/>
          <w:i w:val="0"/>
          <w:color w:val="000000"/>
          <w:sz w:val="22"/>
        </w:rPr>
        <w:t xml:space="preserve">Fecha: </w:t>
      </w:r>
      <w:r>
        <w:rPr>
          <w:rFonts w:ascii="Calibri" w:hAnsi="Calibri" w:cs="Calibri" w:eastAsia="Calibri"/>
          <w:b w:val="0"/>
          <w:i w:val="0"/>
          <w:color w:val="000000"/>
          <w:sz w:val="22"/>
        </w:rPr>
        <w:t>15 de octubre de 2026 (semana 10), período 2026.02</w:t>
      </w:r>
    </w:p>
    <w:p>
      <w:pPr>
        <w:spacing w:after="120"/>
      </w:pPr>
      <w:r>
        <w:rPr>
          <w:rFonts w:ascii="Calibri" w:hAnsi="Calibri" w:cs="Calibri" w:eastAsia="Calibri"/>
          <w:b w:val="0"/>
          <w:i w:val="0"/>
          <w:color w:val="000000"/>
          <w:sz w:val="22"/>
        </w:rPr>
        <w:t>Evaluación formativa, sin ponderación sobre la nota final. Me autoevalúo contra el informe de avance del equipo (guía 2.4) y contra el repositorio oficial, porque 60 de los 100 puntos de la evaluación sumativa de avance se verifican en Git. El propósito es identificar qué debemos ajustar antes de esa evaluación.</w:t>
      </w:r>
    </w:p>
    <w:p>
      <w:pPr>
        <w:spacing w:after="120"/>
      </w:pPr>
      <w:r>
        <w:rPr>
          <w:rFonts w:ascii="Calibri" w:hAnsi="Calibri" w:cs="Calibri" w:eastAsia="Calibri"/>
          <w:b w:val="0"/>
          <w:i w:val="0"/>
          <w:color w:val="000000"/>
          <w:sz w:val="22"/>
        </w:rPr>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firstColumn="1" w:firstRow="1" w:lastColumn="0" w:lastRow="0" w:noHBand="0" w:noVBand="1" w:val="04A0"/>
      </w:tblPr>
      <w:tblGrid>
        <w:gridCol w:w="2835"/>
        <w:gridCol w:w="1531"/>
        <w:gridCol w:w="1417"/>
        <w:gridCol w:w="1020"/>
        <w:gridCol w:w="6180"/>
      </w:tblGrid>
      <w:tr>
        <w:trPr>
          <w:tblHeader w:val="true"/>
        </w:trPr>
        <w:tc>
          <w:tcPr>
            <w:tcW w:type="dxa" w:w="2835"/>
            <w:shd w:val="clear" w:color="auto" w:fill="1F3864"/>
          </w:tcPr>
          <w:p>
            <w:r>
              <w:rPr>
                <w:rFonts w:ascii="Calibri" w:hAnsi="Calibri" w:cs="Calibri" w:eastAsia="Calibri"/>
                <w:b/>
                <w:i w:val="0"/>
                <w:color w:val="FFFFFF"/>
                <w:sz w:val="20"/>
              </w:rPr>
              <w:t>Indicador de evaluación</w:t>
            </w:r>
          </w:p>
        </w:tc>
        <w:tc>
          <w:tcPr>
            <w:tcW w:type="dxa" w:w="1531"/>
            <w:shd w:val="clear" w:color="auto" w:fill="1F3864"/>
          </w:tcPr>
          <w:p>
            <w:r>
              <w:rPr>
                <w:rFonts w:ascii="Calibri" w:hAnsi="Calibri" w:cs="Calibri" w:eastAsia="Calibri"/>
                <w:b/>
                <w:i w:val="0"/>
                <w:color w:val="FFFFFF"/>
                <w:sz w:val="20"/>
              </w:rPr>
              <w:t>Nivel autoevaluado</w:t>
            </w:r>
          </w:p>
        </w:tc>
        <w:tc>
          <w:tcPr>
            <w:tcW w:type="dxa" w:w="1417"/>
            <w:shd w:val="clear" w:color="auto" w:fill="1F3864"/>
          </w:tcPr>
          <w:p>
            <w:r>
              <w:rPr>
                <w:rFonts w:ascii="Calibri" w:hAnsi="Calibri" w:cs="Calibri" w:eastAsia="Calibri"/>
                <w:b/>
                <w:i w:val="0"/>
                <w:color w:val="FFFFFF"/>
                <w:sz w:val="20"/>
              </w:rPr>
              <w:t>Ponderación</w:t>
            </w:r>
          </w:p>
        </w:tc>
        <w:tc>
          <w:tcPr>
            <w:tcW w:type="dxa" w:w="1020"/>
            <w:shd w:val="clear" w:color="auto" w:fill="1F3864"/>
          </w:tcPr>
          <w:p>
            <w:r>
              <w:rPr>
                <w:rFonts w:ascii="Calibri" w:hAnsi="Calibri" w:cs="Calibri" w:eastAsia="Calibri"/>
                <w:b/>
                <w:i w:val="0"/>
                <w:color w:val="FFFFFF"/>
                <w:sz w:val="20"/>
              </w:rPr>
              <w:t>Puntaje</w:t>
            </w:r>
          </w:p>
        </w:tc>
        <w:tc>
          <w:tcPr>
            <w:tcW w:type="dxa" w:w="6180"/>
            <w:shd w:val="clear" w:color="auto" w:fill="1F3864"/>
          </w:tcPr>
          <w:p>
            <w:r>
              <w:rPr>
                <w:rFonts w:ascii="Calibri" w:hAnsi="Calibri" w:cs="Calibri" w:eastAsia="Calibri"/>
                <w:b/>
                <w:i w:val="0"/>
                <w:color w:val="FFFFFF"/>
                <w:sz w:val="20"/>
              </w:rPr>
              <w:t>Justificación de la autoevaluación</w:t>
            </w:r>
          </w:p>
        </w:tc>
      </w:tr>
      <w:tr>
        <w:tc>
          <w:tcPr>
            <w:tcW w:type="dxa" w:w="2835"/>
          </w:tcPr>
          <w:p>
            <w:r>
              <w:rPr>
                <w:rFonts w:ascii="Calibri" w:hAnsi="Calibri" w:cs="Calibri" w:eastAsia="Calibri"/>
                <w:b w:val="0"/>
                <w:i w:val="0"/>
                <w:color w:val="000000"/>
                <w:sz w:val="20"/>
              </w:rPr>
              <w:t>1. Propone ajustes considerando dificultades, facilitadores y retroalimentación.</w:t>
            </w:r>
          </w:p>
        </w:tc>
        <w:tc>
          <w:tcPr>
            <w:tcW w:type="dxa" w:w="1531"/>
          </w:tcPr>
          <w:p>
            <w:r>
              <w:rPr>
                <w:rFonts w:ascii="Calibri" w:hAnsi="Calibri" w:cs="Calibri" w:eastAsia="Calibri"/>
                <w:b w:val="0"/>
                <w:i w:val="0"/>
                <w:color w:val="000000"/>
                <w:sz w:val="20"/>
              </w:rPr>
              <w:t>Completamente logrado</w:t>
            </w:r>
          </w:p>
        </w:tc>
        <w:tc>
          <w:tcPr>
            <w:tcW w:type="dxa" w:w="1417"/>
          </w:tcPr>
          <w:p>
            <w:r>
              <w:rPr>
                <w:rFonts w:ascii="Calibri" w:hAnsi="Calibri" w:cs="Calibri" w:eastAsia="Calibri"/>
                <w:b w:val="0"/>
                <w:i w:val="0"/>
                <w:color w:val="000000"/>
                <w:sz w:val="20"/>
              </w:rPr>
              <w:t>20</w:t>
            </w:r>
          </w:p>
        </w:tc>
        <w:tc>
          <w:tcPr>
            <w:tcW w:type="dxa" w:w="1020"/>
          </w:tcPr>
          <w:p>
            <w:r>
              <w:rPr>
                <w:rFonts w:ascii="Calibri" w:hAnsi="Calibri" w:cs="Calibri" w:eastAsia="Calibri"/>
                <w:b w:val="0"/>
                <w:i w:val="0"/>
                <w:color w:val="000000"/>
                <w:sz w:val="20"/>
              </w:rPr>
              <w:t>20</w:t>
            </w:r>
          </w:p>
        </w:tc>
        <w:tc>
          <w:tcPr>
            <w:tcW w:type="dxa" w:w="6180"/>
          </w:tcPr>
          <w:p>
            <w:r>
              <w:rPr>
                <w:rFonts w:ascii="Calibri" w:hAnsi="Calibri" w:cs="Calibri" w:eastAsia="Calibri"/>
                <w:b w:val="0"/>
                <w:i w:val="0"/>
                <w:color w:val="000000"/>
                <w:sz w:val="20"/>
              </w:rPr>
              <w:t>Los ajustes están justificados con las tres fuentes: retroalimentación del docente (F6: de incremental a cascada; F8: más riesgos), dificultades (dataset sin clase no_vest, hardware en tránsito, trabajo duplicado) y facilitadores (proyecto ya evaluado, dataset público). Están escritos en la guía 2.4.</w:t>
            </w:r>
          </w:p>
        </w:tc>
      </w:tr>
      <w:tr>
        <w:tc>
          <w:tcPr>
            <w:tcW w:type="dxa" w:w="2835"/>
            <w:shd w:val="clear" w:color="auto" w:fill="F2F2F2"/>
          </w:tcPr>
          <w:p>
            <w:r>
              <w:rPr>
                <w:rFonts w:ascii="Calibri" w:hAnsi="Calibri" w:cs="Calibri" w:eastAsia="Calibri"/>
                <w:b w:val="0"/>
                <w:i w:val="0"/>
                <w:color w:val="000000"/>
                <w:sz w:val="20"/>
              </w:rPr>
              <w:t>2. Aplica una metodología que permite el logro de los objetivos propuestos.</w:t>
            </w:r>
          </w:p>
        </w:tc>
        <w:tc>
          <w:tcPr>
            <w:tcW w:type="dxa" w:w="1531"/>
            <w:shd w:val="clear" w:color="auto" w:fill="F2F2F2"/>
          </w:tcPr>
          <w:p>
            <w:r>
              <w:rPr>
                <w:rFonts w:ascii="Calibri" w:hAnsi="Calibri" w:cs="Calibri" w:eastAsia="Calibri"/>
                <w:b w:val="0"/>
                <w:i w:val="0"/>
                <w:color w:val="000000"/>
                <w:sz w:val="20"/>
              </w:rPr>
              <w:t>Logrado</w:t>
            </w:r>
          </w:p>
        </w:tc>
        <w:tc>
          <w:tcPr>
            <w:tcW w:type="dxa" w:w="1417"/>
            <w:shd w:val="clear" w:color="auto" w:fill="F2F2F2"/>
          </w:tcPr>
          <w:p>
            <w:r>
              <w:rPr>
                <w:rFonts w:ascii="Calibri" w:hAnsi="Calibri" w:cs="Calibri" w:eastAsia="Calibri"/>
                <w:b w:val="0"/>
                <w:i w:val="0"/>
                <w:color w:val="000000"/>
                <w:sz w:val="20"/>
              </w:rPr>
              <w:t>20</w:t>
            </w:r>
          </w:p>
        </w:tc>
        <w:tc>
          <w:tcPr>
            <w:tcW w:type="dxa" w:w="1020"/>
            <w:shd w:val="clear" w:color="auto" w:fill="F2F2F2"/>
          </w:tcPr>
          <w:p>
            <w:r>
              <w:rPr>
                <w:rFonts w:ascii="Calibri" w:hAnsi="Calibri" w:cs="Calibri" w:eastAsia="Calibri"/>
                <w:b w:val="0"/>
                <w:i w:val="0"/>
                <w:color w:val="000000"/>
                <w:sz w:val="20"/>
              </w:rPr>
              <w:t>12</w:t>
            </w:r>
          </w:p>
        </w:tc>
        <w:tc>
          <w:tcPr>
            <w:tcW w:type="dxa" w:w="6180"/>
            <w:shd w:val="clear" w:color="auto" w:fill="F2F2F2"/>
          </w:tcPr>
          <w:p>
            <w:r>
              <w:rPr>
                <w:rFonts w:ascii="Calibri" w:hAnsi="Calibri" w:cs="Calibri" w:eastAsia="Calibri"/>
                <w:b w:val="0"/>
                <w:i w:val="0"/>
                <w:color w:val="000000"/>
                <w:sz w:val="20"/>
              </w:rPr>
              <w:t>La cascada con puertas de fase está aplicada y documentada en la Gantt, pero dos puertas no se han cerrado: el SRS sigue sin aprobación formal (v0.3) y el documento de diseño (D2) no existe consolidado. Por eso no se observa el cumplimiento completo de los objetivos del avance.</w:t>
            </w:r>
          </w:p>
        </w:tc>
      </w:tr>
      <w:tr>
        <w:tc>
          <w:tcPr>
            <w:tcW w:type="dxa" w:w="2835"/>
          </w:tcPr>
          <w:p>
            <w:r>
              <w:rPr>
                <w:rFonts w:ascii="Calibri" w:hAnsi="Calibri" w:cs="Calibri" w:eastAsia="Calibri"/>
                <w:b w:val="0"/>
                <w:i w:val="0"/>
                <w:color w:val="000000"/>
                <w:sz w:val="20"/>
              </w:rPr>
              <w:t>3. Genera evidencias que dan cuenta del avance del Proyecto APT.</w:t>
            </w:r>
          </w:p>
        </w:tc>
        <w:tc>
          <w:tcPr>
            <w:tcW w:type="dxa" w:w="1531"/>
          </w:tcPr>
          <w:p>
            <w:r>
              <w:rPr>
                <w:rFonts w:ascii="Calibri" w:hAnsi="Calibri" w:cs="Calibri" w:eastAsia="Calibri"/>
                <w:b w:val="0"/>
                <w:i w:val="0"/>
                <w:color w:val="000000"/>
                <w:sz w:val="20"/>
              </w:rPr>
              <w:t>Logrado</w:t>
            </w:r>
          </w:p>
        </w:tc>
        <w:tc>
          <w:tcPr>
            <w:tcW w:type="dxa" w:w="1417"/>
          </w:tcPr>
          <w:p>
            <w:r>
              <w:rPr>
                <w:rFonts w:ascii="Calibri" w:hAnsi="Calibri" w:cs="Calibri" w:eastAsia="Calibri"/>
                <w:b w:val="0"/>
                <w:i w:val="0"/>
                <w:color w:val="000000"/>
                <w:sz w:val="20"/>
              </w:rPr>
              <w:t>25</w:t>
            </w:r>
          </w:p>
        </w:tc>
        <w:tc>
          <w:tcPr>
            <w:tcW w:type="dxa" w:w="1020"/>
          </w:tcPr>
          <w:p>
            <w:r>
              <w:rPr>
                <w:rFonts w:ascii="Calibri" w:hAnsi="Calibri" w:cs="Calibri" w:eastAsia="Calibri"/>
                <w:b w:val="0"/>
                <w:i w:val="0"/>
                <w:color w:val="000000"/>
                <w:sz w:val="20"/>
              </w:rPr>
              <w:t>15</w:t>
            </w:r>
          </w:p>
        </w:tc>
        <w:tc>
          <w:tcPr>
            <w:tcW w:type="dxa" w:w="6180"/>
          </w:tcPr>
          <w:p>
            <w:r>
              <w:rPr>
                <w:rFonts w:ascii="Calibri" w:hAnsi="Calibri" w:cs="Calibri" w:eastAsia="Calibri"/>
                <w:b w:val="0"/>
                <w:i w:val="0"/>
                <w:color w:val="000000"/>
                <w:sz w:val="20"/>
              </w:rPr>
              <w:t>Hay evidencias de documentación (SRS, Gantt, casos de uso, contrato de API), de programación (API FastAPI con pruebas, motor de detección con difuminado facial) y de datos (modelo entrenado con métricas y migración PostgreSQL). Requieren ajustes: el modelo está bajo el umbral del SRS, la persistencia está en una rama sin integrar y no hay Docker.</w:t>
            </w:r>
          </w:p>
        </w:tc>
      </w:tr>
      <w:tr>
        <w:tc>
          <w:tcPr>
            <w:tcW w:type="dxa" w:w="2835"/>
            <w:shd w:val="clear" w:color="auto" w:fill="F2F2F2"/>
          </w:tcPr>
          <w:p>
            <w:r>
              <w:rPr>
                <w:rFonts w:ascii="Calibri" w:hAnsi="Calibri" w:cs="Calibri" w:eastAsia="Calibri"/>
                <w:b w:val="0"/>
                <w:i w:val="0"/>
                <w:color w:val="000000"/>
                <w:sz w:val="20"/>
              </w:rPr>
              <w:t>4. Utiliza de manera precisa el lenguaje técnico.</w:t>
            </w:r>
          </w:p>
        </w:tc>
        <w:tc>
          <w:tcPr>
            <w:tcW w:type="dxa" w:w="1531"/>
            <w:shd w:val="clear" w:color="auto" w:fill="F2F2F2"/>
          </w:tcPr>
          <w:p>
            <w:r>
              <w:rPr>
                <w:rFonts w:ascii="Calibri" w:hAnsi="Calibri" w:cs="Calibri" w:eastAsia="Calibri"/>
                <w:b w:val="0"/>
                <w:i w:val="0"/>
                <w:color w:val="000000"/>
                <w:sz w:val="20"/>
              </w:rPr>
              <w:t>Completamente logrado</w:t>
            </w:r>
          </w:p>
        </w:tc>
        <w:tc>
          <w:tcPr>
            <w:tcW w:type="dxa" w:w="1417"/>
            <w:shd w:val="clear" w:color="auto" w:fill="F2F2F2"/>
          </w:tcPr>
          <w:p>
            <w:r>
              <w:rPr>
                <w:rFonts w:ascii="Calibri" w:hAnsi="Calibri" w:cs="Calibri" w:eastAsia="Calibri"/>
                <w:b w:val="0"/>
                <w:i w:val="0"/>
                <w:color w:val="000000"/>
                <w:sz w:val="20"/>
              </w:rPr>
              <w:t>5</w:t>
            </w:r>
          </w:p>
        </w:tc>
        <w:tc>
          <w:tcPr>
            <w:tcW w:type="dxa" w:w="1020"/>
            <w:shd w:val="clear" w:color="auto" w:fill="F2F2F2"/>
          </w:tcPr>
          <w:p>
            <w:r>
              <w:rPr>
                <w:rFonts w:ascii="Calibri" w:hAnsi="Calibri" w:cs="Calibri" w:eastAsia="Calibri"/>
                <w:b w:val="0"/>
                <w:i w:val="0"/>
                <w:color w:val="000000"/>
                <w:sz w:val="20"/>
              </w:rPr>
              <w:t>5</w:t>
            </w:r>
          </w:p>
        </w:tc>
        <w:tc>
          <w:tcPr>
            <w:tcW w:type="dxa" w:w="6180"/>
            <w:shd w:val="clear" w:color="auto" w:fill="F2F2F2"/>
          </w:tcPr>
          <w:p>
            <w:r>
              <w:rPr>
                <w:rFonts w:ascii="Calibri" w:hAnsi="Calibri" w:cs="Calibri" w:eastAsia="Calibri"/>
                <w:b w:val="0"/>
                <w:i w:val="0"/>
                <w:color w:val="000000"/>
                <w:sz w:val="20"/>
              </w:rPr>
              <w:t>Se usa la terminología de la disciplina con precisión: puertas de fase, RNF, mAP@0,5, recall, migraciones, endpoint, token, inferencia en el borde (Edge) y ONNX.</w:t>
            </w:r>
          </w:p>
        </w:tc>
      </w:tr>
      <w:tr>
        <w:tc>
          <w:tcPr>
            <w:tcW w:type="dxa" w:w="2835"/>
          </w:tcPr>
          <w:p>
            <w:r>
              <w:rPr>
                <w:rFonts w:ascii="Calibri" w:hAnsi="Calibri" w:cs="Calibri" w:eastAsia="Calibri"/>
                <w:b w:val="0"/>
                <w:i w:val="0"/>
                <w:color w:val="000000"/>
                <w:sz w:val="20"/>
              </w:rPr>
              <w:t>5. Utiliza reglas de redacción, ortografía y normas de citas y referencias.</w:t>
            </w:r>
          </w:p>
        </w:tc>
        <w:tc>
          <w:tcPr>
            <w:tcW w:type="dxa" w:w="1531"/>
          </w:tcPr>
          <w:p>
            <w:r>
              <w:rPr>
                <w:rFonts w:ascii="Calibri" w:hAnsi="Calibri" w:cs="Calibri" w:eastAsia="Calibri"/>
                <w:b w:val="0"/>
                <w:i w:val="0"/>
                <w:color w:val="000000"/>
                <w:sz w:val="20"/>
              </w:rPr>
              <w:t>Logrado</w:t>
            </w:r>
          </w:p>
        </w:tc>
        <w:tc>
          <w:tcPr>
            <w:tcW w:type="dxa" w:w="1417"/>
          </w:tcPr>
          <w:p>
            <w:r>
              <w:rPr>
                <w:rFonts w:ascii="Calibri" w:hAnsi="Calibri" w:cs="Calibri" w:eastAsia="Calibri"/>
                <w:b w:val="0"/>
                <w:i w:val="0"/>
                <w:color w:val="000000"/>
                <w:sz w:val="20"/>
              </w:rPr>
              <w:t>5</w:t>
            </w:r>
          </w:p>
        </w:tc>
        <w:tc>
          <w:tcPr>
            <w:tcW w:type="dxa" w:w="1020"/>
          </w:tcPr>
          <w:p>
            <w:r>
              <w:rPr>
                <w:rFonts w:ascii="Calibri" w:hAnsi="Calibri" w:cs="Calibri" w:eastAsia="Calibri"/>
                <w:b w:val="0"/>
                <w:i w:val="0"/>
                <w:color w:val="000000"/>
                <w:sz w:val="20"/>
              </w:rPr>
              <w:t>3</w:t>
            </w:r>
          </w:p>
        </w:tc>
        <w:tc>
          <w:tcPr>
            <w:tcW w:type="dxa" w:w="6180"/>
          </w:tcPr>
          <w:p>
            <w:r>
              <w:rPr>
                <w:rFonts w:ascii="Calibri" w:hAnsi="Calibri" w:cs="Calibri" w:eastAsia="Calibri"/>
                <w:b w:val="0"/>
                <w:i w:val="0"/>
                <w:color w:val="000000"/>
                <w:sz w:val="20"/>
              </w:rPr>
              <w:t>La redacción está revisada, pero las referencias en APA 7 recién se incorporaron al informe y todavía hay que verificar que cada cita del texto tenga su entrada. Hasta revisarlo, asumo entre 1 y 5 errores.</w:t>
            </w:r>
          </w:p>
        </w:tc>
      </w:tr>
      <w:tr>
        <w:tc>
          <w:tcPr>
            <w:tcW w:type="dxa" w:w="2835"/>
            <w:shd w:val="clear" w:color="auto" w:fill="F2F2F2"/>
          </w:tcPr>
          <w:p>
            <w:r>
              <w:rPr>
                <w:rFonts w:ascii="Calibri" w:hAnsi="Calibri" w:cs="Calibri" w:eastAsia="Calibri"/>
                <w:b w:val="0"/>
                <w:i w:val="0"/>
                <w:color w:val="000000"/>
                <w:sz w:val="20"/>
              </w:rPr>
              <w:t>6. Cumple con el formato del informe de avance.</w:t>
            </w:r>
          </w:p>
        </w:tc>
        <w:tc>
          <w:tcPr>
            <w:tcW w:type="dxa" w:w="1531"/>
            <w:shd w:val="clear" w:color="auto" w:fill="F2F2F2"/>
          </w:tcPr>
          <w:p>
            <w:r>
              <w:rPr>
                <w:rFonts w:ascii="Calibri" w:hAnsi="Calibri" w:cs="Calibri" w:eastAsia="Calibri"/>
                <w:b w:val="0"/>
                <w:i w:val="0"/>
                <w:color w:val="000000"/>
                <w:sz w:val="20"/>
              </w:rPr>
              <w:t>Logrado</w:t>
            </w:r>
          </w:p>
        </w:tc>
        <w:tc>
          <w:tcPr>
            <w:tcW w:type="dxa" w:w="1417"/>
            <w:shd w:val="clear" w:color="auto" w:fill="F2F2F2"/>
          </w:tcPr>
          <w:p>
            <w:r>
              <w:rPr>
                <w:rFonts w:ascii="Calibri" w:hAnsi="Calibri" w:cs="Calibri" w:eastAsia="Calibri"/>
                <w:b w:val="0"/>
                <w:i w:val="0"/>
                <w:color w:val="000000"/>
                <w:sz w:val="20"/>
              </w:rPr>
              <w:t>5</w:t>
            </w:r>
          </w:p>
        </w:tc>
        <w:tc>
          <w:tcPr>
            <w:tcW w:type="dxa" w:w="1020"/>
            <w:shd w:val="clear" w:color="auto" w:fill="F2F2F2"/>
          </w:tcPr>
          <w:p>
            <w:r>
              <w:rPr>
                <w:rFonts w:ascii="Calibri" w:hAnsi="Calibri" w:cs="Calibri" w:eastAsia="Calibri"/>
                <w:b w:val="0"/>
                <w:i w:val="0"/>
                <w:color w:val="000000"/>
                <w:sz w:val="20"/>
              </w:rPr>
              <w:t>3</w:t>
            </w:r>
          </w:p>
        </w:tc>
        <w:tc>
          <w:tcPr>
            <w:tcW w:type="dxa" w:w="6180"/>
            <w:shd w:val="clear" w:color="auto" w:fill="F2F2F2"/>
          </w:tcPr>
          <w:p>
            <w:r>
              <w:rPr>
                <w:rFonts w:ascii="Calibri" w:hAnsi="Calibri" w:cs="Calibri" w:eastAsia="Calibri"/>
                <w:b w:val="0"/>
                <w:i w:val="0"/>
                <w:color w:val="000000"/>
                <w:sz w:val="20"/>
              </w:rPr>
              <w:t>El informe tiene portada, índice, abstract en español e inglés, desarrollo, conclusiones, reflexiones, bibliografía, anexo de evidencias y número de página en Calibri 11. Falta que los cuatro integrantes completen su reflexión individual.</w:t>
            </w:r>
          </w:p>
        </w:tc>
      </w:tr>
      <w:tr>
        <w:tc>
          <w:tcPr>
            <w:tcW w:type="dxa" w:w="2835"/>
          </w:tcPr>
          <w:p>
            <w:r>
              <w:rPr>
                <w:rFonts w:ascii="Calibri" w:hAnsi="Calibri" w:cs="Calibri" w:eastAsia="Calibri"/>
                <w:b w:val="0"/>
                <w:i w:val="0"/>
                <w:color w:val="000000"/>
                <w:sz w:val="20"/>
              </w:rPr>
              <w:t>7. Cumple con los indicadores de calidad disciplinarios.</w:t>
            </w:r>
          </w:p>
        </w:tc>
        <w:tc>
          <w:tcPr>
            <w:tcW w:type="dxa" w:w="1531"/>
          </w:tcPr>
          <w:p>
            <w:r>
              <w:rPr>
                <w:rFonts w:ascii="Calibri" w:hAnsi="Calibri" w:cs="Calibri" w:eastAsia="Calibri"/>
                <w:b w:val="0"/>
                <w:i w:val="0"/>
                <w:color w:val="000000"/>
                <w:sz w:val="20"/>
              </w:rPr>
              <w:t>Logrado</w:t>
            </w:r>
          </w:p>
        </w:tc>
        <w:tc>
          <w:tcPr>
            <w:tcW w:type="dxa" w:w="1417"/>
          </w:tcPr>
          <w:p>
            <w:r>
              <w:rPr>
                <w:rFonts w:ascii="Calibri" w:hAnsi="Calibri" w:cs="Calibri" w:eastAsia="Calibri"/>
                <w:b w:val="0"/>
                <w:i w:val="0"/>
                <w:color w:val="000000"/>
                <w:sz w:val="20"/>
              </w:rPr>
              <w:t>10</w:t>
            </w:r>
          </w:p>
        </w:tc>
        <w:tc>
          <w:tcPr>
            <w:tcW w:type="dxa" w:w="1020"/>
          </w:tcPr>
          <w:p>
            <w:r>
              <w:rPr>
                <w:rFonts w:ascii="Calibri" w:hAnsi="Calibri" w:cs="Calibri" w:eastAsia="Calibri"/>
                <w:b w:val="0"/>
                <w:i w:val="0"/>
                <w:color w:val="000000"/>
                <w:sz w:val="20"/>
              </w:rPr>
              <w:t>6</w:t>
            </w:r>
          </w:p>
        </w:tc>
        <w:tc>
          <w:tcPr>
            <w:tcW w:type="dxa" w:w="6180"/>
          </w:tcPr>
          <w:p>
            <w:r>
              <w:rPr>
                <w:rFonts w:ascii="Calibri" w:hAnsi="Calibri" w:cs="Calibri" w:eastAsia="Calibri"/>
                <w:b w:val="0"/>
                <w:i w:val="0"/>
                <w:color w:val="000000"/>
                <w:sz w:val="20"/>
              </w:rPr>
              <w:t>Están presentes 2.1, 2.2, 3.1 y 4.1, y parcialmente 1.2 y 3.2 (detalle en la tabla siguiente). Faltan 1.1, 1.3, 4.2 y 4.3, que corresponden a fases posteriores de la cascada. Cerca del 60 % de los indicadores.</w:t>
            </w:r>
          </w:p>
        </w:tc>
      </w:tr>
      <w:tr>
        <w:tc>
          <w:tcPr>
            <w:tcW w:type="dxa" w:w="2835"/>
            <w:shd w:val="clear" w:color="auto" w:fill="F2F2F2"/>
          </w:tcPr>
          <w:p>
            <w:r>
              <w:rPr>
                <w:rFonts w:ascii="Calibri" w:hAnsi="Calibri" w:cs="Calibri" w:eastAsia="Calibri"/>
                <w:b w:val="0"/>
                <w:i w:val="0"/>
                <w:color w:val="000000"/>
                <w:sz w:val="20"/>
              </w:rPr>
              <w:t>8. Comunica de forma escrita en inglés a un nivel intermedio alto.</w:t>
            </w:r>
          </w:p>
        </w:tc>
        <w:tc>
          <w:tcPr>
            <w:tcW w:type="dxa" w:w="1531"/>
            <w:shd w:val="clear" w:color="auto" w:fill="F2F2F2"/>
          </w:tcPr>
          <w:p>
            <w:r>
              <w:rPr>
                <w:rFonts w:ascii="Calibri" w:hAnsi="Calibri" w:cs="Calibri" w:eastAsia="Calibri"/>
                <w:b w:val="0"/>
                <w:i w:val="0"/>
                <w:color w:val="000000"/>
                <w:sz w:val="20"/>
              </w:rPr>
              <w:t>Logrado</w:t>
            </w:r>
          </w:p>
        </w:tc>
        <w:tc>
          <w:tcPr>
            <w:tcW w:type="dxa" w:w="1417"/>
            <w:shd w:val="clear" w:color="auto" w:fill="F2F2F2"/>
          </w:tcPr>
          <w:p>
            <w:r>
              <w:rPr>
                <w:rFonts w:ascii="Calibri" w:hAnsi="Calibri" w:cs="Calibri" w:eastAsia="Calibri"/>
                <w:b w:val="0"/>
                <w:i w:val="0"/>
                <w:color w:val="000000"/>
                <w:sz w:val="20"/>
              </w:rPr>
              <w:t>10</w:t>
            </w:r>
          </w:p>
        </w:tc>
        <w:tc>
          <w:tcPr>
            <w:tcW w:type="dxa" w:w="1020"/>
            <w:shd w:val="clear" w:color="auto" w:fill="F2F2F2"/>
          </w:tcPr>
          <w:p>
            <w:r>
              <w:rPr>
                <w:rFonts w:ascii="Calibri" w:hAnsi="Calibri" w:cs="Calibri" w:eastAsia="Calibri"/>
                <w:b w:val="0"/>
                <w:i w:val="0"/>
                <w:color w:val="000000"/>
                <w:sz w:val="20"/>
              </w:rPr>
              <w:t>6</w:t>
            </w:r>
          </w:p>
        </w:tc>
        <w:tc>
          <w:tcPr>
            <w:tcW w:type="dxa" w:w="6180"/>
            <w:shd w:val="clear" w:color="auto" w:fill="F2F2F2"/>
          </w:tcPr>
          <w:p>
            <w:r>
              <w:rPr>
                <w:rFonts w:ascii="Calibri" w:hAnsi="Calibri" w:cs="Calibri" w:eastAsia="Calibri"/>
                <w:b w:val="0"/>
                <w:i w:val="0"/>
                <w:color w:val="000000"/>
                <w:sz w:val="20"/>
              </w:rPr>
              <w:t>El abstract y mi conclusión y reflexión individual están redactados en inglés. Me falta una revisión de estilo; y la rúbrica evalúa a todo el equipo, así que el resultado depende de que los cuatro escriban su parte en inglés.</w:t>
            </w:r>
          </w:p>
        </w:tc>
      </w:tr>
      <w:tr>
        <w:tc>
          <w:tcPr>
            <w:tcW w:type="dxa" w:w="2835"/>
          </w:tcPr>
          <w:p>
            <w:r>
              <w:rPr>
                <w:rFonts w:ascii="Calibri" w:hAnsi="Calibri" w:cs="Calibri" w:eastAsia="Calibri"/>
                <w:b/>
                <w:i w:val="0"/>
                <w:color w:val="000000"/>
                <w:sz w:val="20"/>
              </w:rPr>
              <w:t>Total</w:t>
            </w:r>
          </w:p>
        </w:tc>
        <w:tc>
          <w:tcPr>
            <w:tcW w:type="dxa" w:w="1531"/>
          </w:tcPr>
          <w:p>
            <w:r>
              <w:rPr>
                <w:rFonts w:ascii="Calibri" w:hAnsi="Calibri" w:cs="Calibri" w:eastAsia="Calibri"/>
                <w:b w:val="0"/>
                <w:i w:val="0"/>
                <w:color w:val="000000"/>
                <w:sz w:val="20"/>
              </w:rPr>
            </w:r>
          </w:p>
        </w:tc>
        <w:tc>
          <w:tcPr>
            <w:tcW w:type="dxa" w:w="1417"/>
          </w:tcPr>
          <w:p>
            <w:r>
              <w:rPr>
                <w:rFonts w:ascii="Calibri" w:hAnsi="Calibri" w:cs="Calibri" w:eastAsia="Calibri"/>
                <w:b/>
                <w:i w:val="0"/>
                <w:color w:val="000000"/>
                <w:sz w:val="20"/>
              </w:rPr>
              <w:t>100</w:t>
            </w:r>
          </w:p>
        </w:tc>
        <w:tc>
          <w:tcPr>
            <w:tcW w:type="dxa" w:w="1020"/>
          </w:tcPr>
          <w:p>
            <w:r>
              <w:rPr>
                <w:rFonts w:ascii="Calibri" w:hAnsi="Calibri" w:cs="Calibri" w:eastAsia="Calibri"/>
                <w:b/>
                <w:i w:val="0"/>
                <w:color w:val="000000"/>
                <w:sz w:val="20"/>
              </w:rPr>
              <w:t>70</w:t>
            </w:r>
          </w:p>
        </w:tc>
        <w:tc>
          <w:tcPr>
            <w:tcW w:type="dxa" w:w="6180"/>
          </w:tcPr>
          <w:p>
            <w:r>
              <w:rPr>
                <w:rFonts w:ascii="Calibri" w:hAnsi="Calibri" w:cs="Calibri" w:eastAsia="Calibri"/>
                <w:b w:val="0"/>
                <w:i w:val="0"/>
                <w:color w:val="000000"/>
                <w:sz w:val="20"/>
              </w:rPr>
              <w:t>Equivale a un 70 % de logro, sobre la exigencia del 60 %, pero lejos del nivel Completamente logrado. Los indicadores 2 y 3 concentran la brecha (18 puntos).</w:t>
            </w:r>
          </w:p>
        </w:tc>
      </w:tr>
    </w:tbl>
    <w:p>
      <w:pPr>
        <w:spacing w:after="120"/>
      </w:pPr>
      <w:r>
        <w:rPr>
          <w:rFonts w:ascii="Calibri" w:hAnsi="Calibri" w:cs="Calibri" w:eastAsia="Calibri"/>
          <w:b w:val="0"/>
          <w:i w:val="0"/>
          <w:color w:val="000000"/>
          <w:sz w:val="22"/>
        </w:rPr>
      </w:r>
    </w:p>
    <w:p>
      <w:pPr>
        <w:spacing w:after="80"/>
      </w:pPr>
      <w:r>
        <w:rPr>
          <w:rFonts w:ascii="Calibri" w:hAnsi="Calibri" w:cs="Calibri" w:eastAsia="Calibri"/>
          <w:b/>
          <w:i w:val="0"/>
          <w:color w:val="1F3864"/>
          <w:sz w:val="26"/>
        </w:rPr>
        <w:t>Indicadores de calidad disciplinarios presentes en el proyecto</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firstColumn="1" w:firstRow="1" w:lastColumn="0" w:lastRow="0" w:noHBand="0" w:noVBand="1" w:val="04A0"/>
      </w:tblPr>
      <w:tblGrid>
        <w:gridCol w:w="3515"/>
        <w:gridCol w:w="1474"/>
        <w:gridCol w:w="7994"/>
      </w:tblGrid>
      <w:tr>
        <w:trPr>
          <w:tblHeader w:val="true"/>
        </w:trPr>
        <w:tc>
          <w:tcPr>
            <w:tcW w:type="dxa" w:w="3515"/>
            <w:shd w:val="clear" w:color="auto" w:fill="1F3864"/>
          </w:tcPr>
          <w:p>
            <w:r>
              <w:rPr>
                <w:rFonts w:ascii="Calibri" w:hAnsi="Calibri" w:cs="Calibri" w:eastAsia="Calibri"/>
                <w:b/>
                <w:i w:val="0"/>
                <w:color w:val="FFFFFF"/>
                <w:sz w:val="20"/>
              </w:rPr>
              <w:t>Indicador de calidad</w:t>
            </w:r>
          </w:p>
        </w:tc>
        <w:tc>
          <w:tcPr>
            <w:tcW w:type="dxa" w:w="1474"/>
            <w:shd w:val="clear" w:color="auto" w:fill="1F3864"/>
          </w:tcPr>
          <w:p>
            <w:r>
              <w:rPr>
                <w:rFonts w:ascii="Calibri" w:hAnsi="Calibri" w:cs="Calibri" w:eastAsia="Calibri"/>
                <w:b/>
                <w:i w:val="0"/>
                <w:color w:val="FFFFFF"/>
                <w:sz w:val="20"/>
              </w:rPr>
              <w:t>Estado</w:t>
            </w:r>
          </w:p>
        </w:tc>
        <w:tc>
          <w:tcPr>
            <w:tcW w:type="dxa" w:w="7994"/>
            <w:shd w:val="clear" w:color="auto" w:fill="1F3864"/>
          </w:tcPr>
          <w:p>
            <w:r>
              <w:rPr>
                <w:rFonts w:ascii="Calibri" w:hAnsi="Calibri" w:cs="Calibri" w:eastAsia="Calibri"/>
                <w:b/>
                <w:i w:val="0"/>
                <w:color w:val="FFFFFF"/>
                <w:sz w:val="20"/>
              </w:rPr>
              <w:t>Evidencia o motivo</w:t>
            </w:r>
          </w:p>
        </w:tc>
      </w:tr>
      <w:tr>
        <w:tc>
          <w:tcPr>
            <w:tcW w:type="dxa" w:w="3515"/>
          </w:tcPr>
          <w:p>
            <w:r>
              <w:rPr>
                <w:rFonts w:ascii="Calibri" w:hAnsi="Calibri" w:cs="Calibri" w:eastAsia="Calibri"/>
                <w:b w:val="0"/>
                <w:i w:val="0"/>
                <w:color w:val="000000"/>
                <w:sz w:val="20"/>
              </w:rPr>
              <w:t>1.1 Diseña pruebas de validación</w:t>
            </w:r>
          </w:p>
        </w:tc>
        <w:tc>
          <w:tcPr>
            <w:tcW w:type="dxa" w:w="1474"/>
          </w:tcPr>
          <w:p>
            <w:r>
              <w:rPr>
                <w:rFonts w:ascii="Calibri" w:hAnsi="Calibri" w:cs="Calibri" w:eastAsia="Calibri"/>
                <w:b w:val="0"/>
                <w:i w:val="0"/>
                <w:color w:val="000000"/>
                <w:sz w:val="20"/>
              </w:rPr>
              <w:t>No presente</w:t>
            </w:r>
          </w:p>
        </w:tc>
        <w:tc>
          <w:tcPr>
            <w:tcW w:type="dxa" w:w="7994"/>
          </w:tcPr>
          <w:p>
            <w:r>
              <w:rPr>
                <w:rFonts w:ascii="Calibri" w:hAnsi="Calibri" w:cs="Calibri" w:eastAsia="Calibri"/>
                <w:b w:val="0"/>
                <w:i w:val="0"/>
                <w:color w:val="000000"/>
                <w:sz w:val="20"/>
              </w:rPr>
              <w:t>Los criterios de aceptación están en el SRS (mAP@0,5 ≥ 0,90, recall ≥ 0,85, latencia &lt; 5 s), pero el plan de pruebas D3 no existe.</w:t>
            </w:r>
          </w:p>
        </w:tc>
      </w:tr>
      <w:tr>
        <w:tc>
          <w:tcPr>
            <w:tcW w:type="dxa" w:w="3515"/>
            <w:shd w:val="clear" w:color="auto" w:fill="F2F2F2"/>
          </w:tcPr>
          <w:p>
            <w:r>
              <w:rPr>
                <w:rFonts w:ascii="Calibri" w:hAnsi="Calibri" w:cs="Calibri" w:eastAsia="Calibri"/>
                <w:b w:val="0"/>
                <w:i w:val="0"/>
                <w:color w:val="000000"/>
                <w:sz w:val="20"/>
              </w:rPr>
              <w:t>1.2 Aplica pruebas de validación</w:t>
            </w:r>
          </w:p>
        </w:tc>
        <w:tc>
          <w:tcPr>
            <w:tcW w:type="dxa" w:w="1474"/>
            <w:shd w:val="clear" w:color="auto" w:fill="F2F2F2"/>
          </w:tcPr>
          <w:p>
            <w:r>
              <w:rPr>
                <w:rFonts w:ascii="Calibri" w:hAnsi="Calibri" w:cs="Calibri" w:eastAsia="Calibri"/>
                <w:b w:val="0"/>
                <w:i w:val="0"/>
                <w:color w:val="000000"/>
                <w:sz w:val="20"/>
              </w:rPr>
              <w:t>Parcial</w:t>
            </w:r>
          </w:p>
        </w:tc>
        <w:tc>
          <w:tcPr>
            <w:tcW w:type="dxa" w:w="7994"/>
            <w:shd w:val="clear" w:color="auto" w:fill="F2F2F2"/>
          </w:tcPr>
          <w:p>
            <w:r>
              <w:rPr>
                <w:rFonts w:ascii="Calibri" w:hAnsi="Calibri" w:cs="Calibri" w:eastAsia="Calibri"/>
                <w:b w:val="0"/>
                <w:i w:val="0"/>
                <w:color w:val="000000"/>
                <w:sz w:val="20"/>
              </w:rPr>
              <w:t>Prueba automatizada de GET /health (pytest) en main; diez pruebas de POST /incidents en integración; validación del modelo sobre 143 imágenes de validación.</w:t>
            </w:r>
          </w:p>
        </w:tc>
      </w:tr>
      <w:tr>
        <w:tc>
          <w:tcPr>
            <w:tcW w:type="dxa" w:w="3515"/>
          </w:tcPr>
          <w:p>
            <w:r>
              <w:rPr>
                <w:rFonts w:ascii="Calibri" w:hAnsi="Calibri" w:cs="Calibri" w:eastAsia="Calibri"/>
                <w:b w:val="0"/>
                <w:i w:val="0"/>
                <w:color w:val="000000"/>
                <w:sz w:val="20"/>
              </w:rPr>
              <w:t>1.3 Desarrolla mejoras en base al resultado</w:t>
            </w:r>
          </w:p>
        </w:tc>
        <w:tc>
          <w:tcPr>
            <w:tcW w:type="dxa" w:w="1474"/>
          </w:tcPr>
          <w:p>
            <w:r>
              <w:rPr>
                <w:rFonts w:ascii="Calibri" w:hAnsi="Calibri" w:cs="Calibri" w:eastAsia="Calibri"/>
                <w:b w:val="0"/>
                <w:i w:val="0"/>
                <w:color w:val="000000"/>
                <w:sz w:val="20"/>
              </w:rPr>
              <w:t>No presente</w:t>
            </w:r>
          </w:p>
        </w:tc>
        <w:tc>
          <w:tcPr>
            <w:tcW w:type="dxa" w:w="7994"/>
          </w:tcPr>
          <w:p>
            <w:r>
              <w:rPr>
                <w:rFonts w:ascii="Calibri" w:hAnsi="Calibri" w:cs="Calibri" w:eastAsia="Calibri"/>
                <w:b w:val="0"/>
                <w:i w:val="0"/>
                <w:color w:val="000000"/>
                <w:sz w:val="20"/>
              </w:rPr>
              <w:t>Corresponde a la fase de integración y pruebas (S13–S15). Ya está identificada la primera mejora: reentrenar para subir el recall de la regla de casco (0,757).</w:t>
            </w:r>
          </w:p>
        </w:tc>
      </w:tr>
      <w:tr>
        <w:tc>
          <w:tcPr>
            <w:tcW w:type="dxa" w:w="3515"/>
            <w:shd w:val="clear" w:color="auto" w:fill="F2F2F2"/>
          </w:tcPr>
          <w:p>
            <w:r>
              <w:rPr>
                <w:rFonts w:ascii="Calibri" w:hAnsi="Calibri" w:cs="Calibri" w:eastAsia="Calibri"/>
                <w:b w:val="0"/>
                <w:i w:val="0"/>
                <w:color w:val="000000"/>
                <w:sz w:val="20"/>
              </w:rPr>
              <w:t>2.1 Planifica proyectos informáticos</w:t>
            </w:r>
          </w:p>
        </w:tc>
        <w:tc>
          <w:tcPr>
            <w:tcW w:type="dxa" w:w="1474"/>
            <w:shd w:val="clear" w:color="auto" w:fill="F2F2F2"/>
          </w:tcPr>
          <w:p>
            <w:r>
              <w:rPr>
                <w:rFonts w:ascii="Calibri" w:hAnsi="Calibri" w:cs="Calibri" w:eastAsia="Calibri"/>
                <w:b w:val="0"/>
                <w:i w:val="0"/>
                <w:color w:val="000000"/>
                <w:sz w:val="20"/>
              </w:rPr>
              <w:t>Presente</w:t>
            </w:r>
          </w:p>
        </w:tc>
        <w:tc>
          <w:tcPr>
            <w:tcW w:type="dxa" w:w="7994"/>
            <w:shd w:val="clear" w:color="auto" w:fill="F2F2F2"/>
          </w:tcPr>
          <w:p>
            <w:r>
              <w:rPr>
                <w:rFonts w:ascii="Calibri" w:hAnsi="Calibri" w:cs="Calibri" w:eastAsia="Calibri"/>
                <w:b w:val="0"/>
                <w:i w:val="0"/>
                <w:color w:val="000000"/>
                <w:sz w:val="20"/>
              </w:rPr>
              <w:t>Metodología en cascada con puertas de fase, EDT de 8 paquetes, carta Gantt de 18 semanas con responsables y matriz de riesgos.</w:t>
            </w:r>
          </w:p>
        </w:tc>
      </w:tr>
      <w:tr>
        <w:tc>
          <w:tcPr>
            <w:tcW w:type="dxa" w:w="3515"/>
          </w:tcPr>
          <w:p>
            <w:r>
              <w:rPr>
                <w:rFonts w:ascii="Calibri" w:hAnsi="Calibri" w:cs="Calibri" w:eastAsia="Calibri"/>
                <w:b w:val="0"/>
                <w:i w:val="0"/>
                <w:color w:val="000000"/>
                <w:sz w:val="20"/>
              </w:rPr>
              <w:t>2.2 Controla proyectos informáticos</w:t>
            </w:r>
          </w:p>
        </w:tc>
        <w:tc>
          <w:tcPr>
            <w:tcW w:type="dxa" w:w="1474"/>
          </w:tcPr>
          <w:p>
            <w:r>
              <w:rPr>
                <w:rFonts w:ascii="Calibri" w:hAnsi="Calibri" w:cs="Calibri" w:eastAsia="Calibri"/>
                <w:b w:val="0"/>
                <w:i w:val="0"/>
                <w:color w:val="000000"/>
                <w:sz w:val="20"/>
              </w:rPr>
              <w:t>Presente</w:t>
            </w:r>
          </w:p>
        </w:tc>
        <w:tc>
          <w:tcPr>
            <w:tcW w:type="dxa" w:w="7994"/>
          </w:tcPr>
          <w:p>
            <w:r>
              <w:rPr>
                <w:rFonts w:ascii="Calibri" w:hAnsi="Calibri" w:cs="Calibri" w:eastAsia="Calibri"/>
                <w:b w:val="0"/>
                <w:i w:val="0"/>
                <w:color w:val="000000"/>
                <w:sz w:val="20"/>
              </w:rPr>
              <w:t>Monitoreo del plan con estado por actividad (guía 2.4), bitácora de decisiones, revisión de pull requests con rama main protegida.</w:t>
            </w:r>
          </w:p>
        </w:tc>
      </w:tr>
      <w:tr>
        <w:tc>
          <w:tcPr>
            <w:tcW w:type="dxa" w:w="3515"/>
            <w:shd w:val="clear" w:color="auto" w:fill="F2F2F2"/>
          </w:tcPr>
          <w:p>
            <w:r>
              <w:rPr>
                <w:rFonts w:ascii="Calibri" w:hAnsi="Calibri" w:cs="Calibri" w:eastAsia="Calibri"/>
                <w:b w:val="0"/>
                <w:i w:val="0"/>
                <w:color w:val="000000"/>
                <w:sz w:val="20"/>
              </w:rPr>
              <w:t>3.1 Diseña modelos de datos</w:t>
            </w:r>
          </w:p>
        </w:tc>
        <w:tc>
          <w:tcPr>
            <w:tcW w:type="dxa" w:w="1474"/>
            <w:shd w:val="clear" w:color="auto" w:fill="F2F2F2"/>
          </w:tcPr>
          <w:p>
            <w:r>
              <w:rPr>
                <w:rFonts w:ascii="Calibri" w:hAnsi="Calibri" w:cs="Calibri" w:eastAsia="Calibri"/>
                <w:b w:val="0"/>
                <w:i w:val="0"/>
                <w:color w:val="000000"/>
                <w:sz w:val="20"/>
              </w:rPr>
              <w:t>Presente</w:t>
            </w:r>
          </w:p>
        </w:tc>
        <w:tc>
          <w:tcPr>
            <w:tcW w:type="dxa" w:w="7994"/>
            <w:shd w:val="clear" w:color="auto" w:fill="F2F2F2"/>
          </w:tcPr>
          <w:p>
            <w:r>
              <w:rPr>
                <w:rFonts w:ascii="Calibri" w:hAnsi="Calibri" w:cs="Calibri" w:eastAsia="Calibri"/>
                <w:b w:val="0"/>
                <w:i w:val="0"/>
                <w:color w:val="000000"/>
                <w:sz w:val="20"/>
              </w:rPr>
              <w:t>Entidades definidas en el SRS y contrato de incidentes en docs/API.md. Falta el diagrama ER completo en el D2.</w:t>
            </w:r>
          </w:p>
        </w:tc>
      </w:tr>
      <w:tr>
        <w:tc>
          <w:tcPr>
            <w:tcW w:type="dxa" w:w="3515"/>
          </w:tcPr>
          <w:p>
            <w:r>
              <w:rPr>
                <w:rFonts w:ascii="Calibri" w:hAnsi="Calibri" w:cs="Calibri" w:eastAsia="Calibri"/>
                <w:b w:val="0"/>
                <w:i w:val="0"/>
                <w:color w:val="000000"/>
                <w:sz w:val="20"/>
              </w:rPr>
              <w:t>3.2 Implementa modelos de datos</w:t>
            </w:r>
          </w:p>
        </w:tc>
        <w:tc>
          <w:tcPr>
            <w:tcW w:type="dxa" w:w="1474"/>
          </w:tcPr>
          <w:p>
            <w:r>
              <w:rPr>
                <w:rFonts w:ascii="Calibri" w:hAnsi="Calibri" w:cs="Calibri" w:eastAsia="Calibri"/>
                <w:b w:val="0"/>
                <w:i w:val="0"/>
                <w:color w:val="000000"/>
                <w:sz w:val="20"/>
              </w:rPr>
              <w:t>Parcial</w:t>
            </w:r>
          </w:p>
        </w:tc>
        <w:tc>
          <w:tcPr>
            <w:tcW w:type="dxa" w:w="7994"/>
          </w:tcPr>
          <w:p>
            <w:r>
              <w:rPr>
                <w:rFonts w:ascii="Calibri" w:hAnsi="Calibri" w:cs="Calibri" w:eastAsia="Calibri"/>
                <w:b w:val="0"/>
                <w:i w:val="0"/>
                <w:color w:val="000000"/>
                <w:sz w:val="20"/>
              </w:rPr>
              <w:t>Migración 001_create_incidents.sql en PostgreSQL (rama de Fernando, en integración). Faltan las tablas de cámaras, zonas, usuarios y roles.</w:t>
            </w:r>
          </w:p>
        </w:tc>
      </w:tr>
      <w:tr>
        <w:tc>
          <w:tcPr>
            <w:tcW w:type="dxa" w:w="3515"/>
            <w:shd w:val="clear" w:color="auto" w:fill="F2F2F2"/>
          </w:tcPr>
          <w:p>
            <w:r>
              <w:rPr>
                <w:rFonts w:ascii="Calibri" w:hAnsi="Calibri" w:cs="Calibri" w:eastAsia="Calibri"/>
                <w:b w:val="0"/>
                <w:i w:val="0"/>
                <w:color w:val="000000"/>
                <w:sz w:val="20"/>
              </w:rPr>
              <w:t>4.1 Construye una solución de software</w:t>
            </w:r>
          </w:p>
        </w:tc>
        <w:tc>
          <w:tcPr>
            <w:tcW w:type="dxa" w:w="1474"/>
            <w:shd w:val="clear" w:color="auto" w:fill="F2F2F2"/>
          </w:tcPr>
          <w:p>
            <w:r>
              <w:rPr>
                <w:rFonts w:ascii="Calibri" w:hAnsi="Calibri" w:cs="Calibri" w:eastAsia="Calibri"/>
                <w:b w:val="0"/>
                <w:i w:val="0"/>
                <w:color w:val="000000"/>
                <w:sz w:val="20"/>
              </w:rPr>
              <w:t>Presente</w:t>
            </w:r>
          </w:p>
        </w:tc>
        <w:tc>
          <w:tcPr>
            <w:tcW w:type="dxa" w:w="7994"/>
            <w:shd w:val="clear" w:color="auto" w:fill="F2F2F2"/>
          </w:tcPr>
          <w:p>
            <w:r>
              <w:rPr>
                <w:rFonts w:ascii="Calibri" w:hAnsi="Calibri" w:cs="Calibri" w:eastAsia="Calibri"/>
                <w:b w:val="0"/>
                <w:i w:val="0"/>
                <w:color w:val="000000"/>
                <w:sz w:val="20"/>
              </w:rPr>
              <w:t>API FastAPI, motor de detección YOLO26 con reglas de casco y chaleco y difuminado facial, agente de monitoreo que envía incidentes a la API.</w:t>
            </w:r>
          </w:p>
        </w:tc>
      </w:tr>
      <w:tr>
        <w:tc>
          <w:tcPr>
            <w:tcW w:type="dxa" w:w="3515"/>
          </w:tcPr>
          <w:p>
            <w:r>
              <w:rPr>
                <w:rFonts w:ascii="Calibri" w:hAnsi="Calibri" w:cs="Calibri" w:eastAsia="Calibri"/>
                <w:b w:val="0"/>
                <w:i w:val="0"/>
                <w:color w:val="000000"/>
                <w:sz w:val="20"/>
              </w:rPr>
              <w:t>4.2 Integra los componentes</w:t>
            </w:r>
          </w:p>
        </w:tc>
        <w:tc>
          <w:tcPr>
            <w:tcW w:type="dxa" w:w="1474"/>
          </w:tcPr>
          <w:p>
            <w:r>
              <w:rPr>
                <w:rFonts w:ascii="Calibri" w:hAnsi="Calibri" w:cs="Calibri" w:eastAsia="Calibri"/>
                <w:b w:val="0"/>
                <w:i w:val="0"/>
                <w:color w:val="000000"/>
                <w:sz w:val="20"/>
              </w:rPr>
              <w:t>No presente</w:t>
            </w:r>
          </w:p>
        </w:tc>
        <w:tc>
          <w:tcPr>
            <w:tcW w:type="dxa" w:w="7994"/>
          </w:tcPr>
          <w:p>
            <w:r>
              <w:rPr>
                <w:rFonts w:ascii="Calibri" w:hAnsi="Calibri" w:cs="Calibri" w:eastAsia="Calibri"/>
                <w:b w:val="0"/>
                <w:i w:val="0"/>
                <w:color w:val="000000"/>
                <w:sz w:val="20"/>
              </w:rPr>
              <w:t>La integración (S13) aún no empieza. La primera integración real (motor → API → base de datos) está en curso.</w:t>
            </w:r>
          </w:p>
        </w:tc>
      </w:tr>
      <w:tr>
        <w:tc>
          <w:tcPr>
            <w:tcW w:type="dxa" w:w="3515"/>
            <w:shd w:val="clear" w:color="auto" w:fill="F2F2F2"/>
          </w:tcPr>
          <w:p>
            <w:r>
              <w:rPr>
                <w:rFonts w:ascii="Calibri" w:hAnsi="Calibri" w:cs="Calibri" w:eastAsia="Calibri"/>
                <w:b w:val="0"/>
                <w:i w:val="0"/>
                <w:color w:val="000000"/>
                <w:sz w:val="20"/>
              </w:rPr>
              <w:t>4.3 Implanta la solución</w:t>
            </w:r>
          </w:p>
        </w:tc>
        <w:tc>
          <w:tcPr>
            <w:tcW w:type="dxa" w:w="1474"/>
            <w:shd w:val="clear" w:color="auto" w:fill="F2F2F2"/>
          </w:tcPr>
          <w:p>
            <w:r>
              <w:rPr>
                <w:rFonts w:ascii="Calibri" w:hAnsi="Calibri" w:cs="Calibri" w:eastAsia="Calibri"/>
                <w:b w:val="0"/>
                <w:i w:val="0"/>
                <w:color w:val="000000"/>
                <w:sz w:val="20"/>
              </w:rPr>
              <w:t>No presente</w:t>
            </w:r>
          </w:p>
        </w:tc>
        <w:tc>
          <w:tcPr>
            <w:tcW w:type="dxa" w:w="7994"/>
            <w:shd w:val="clear" w:color="auto" w:fill="F2F2F2"/>
          </w:tcPr>
          <w:p>
            <w:r>
              <w:rPr>
                <w:rFonts w:ascii="Calibri" w:hAnsi="Calibri" w:cs="Calibri" w:eastAsia="Calibri"/>
                <w:b w:val="0"/>
                <w:i w:val="0"/>
                <w:color w:val="000000"/>
                <w:sz w:val="20"/>
              </w:rPr>
              <w:t>Despliegue con Docker Compose planificado para S15; los contenedores no se han iniciado.</w:t>
            </w:r>
          </w:p>
        </w:tc>
      </w:tr>
    </w:tbl>
    <w:p>
      <w:pPr>
        <w:spacing w:after="120"/>
      </w:pPr>
      <w:r>
        <w:rPr>
          <w:rFonts w:ascii="Calibri" w:hAnsi="Calibri" w:cs="Calibri" w:eastAsia="Calibri"/>
          <w:b w:val="0"/>
          <w:i w:val="0"/>
          <w:color w:val="000000"/>
          <w:sz w:val="22"/>
        </w:rPr>
      </w:r>
    </w:p>
    <w:p>
      <w:pPr>
        <w:spacing w:after="80"/>
      </w:pPr>
      <w:r>
        <w:rPr>
          <w:rFonts w:ascii="Calibri" w:hAnsi="Calibri" w:cs="Calibri" w:eastAsia="Calibri"/>
          <w:b/>
          <w:i w:val="0"/>
          <w:color w:val="1F3864"/>
          <w:sz w:val="26"/>
        </w:rPr>
        <w:t>Ajustes por realizar antes de la evaluación sumativa</w:t>
      </w:r>
    </w:p>
    <w:tbl>
      <w:tblPr>
        <w:tblW w:type="auto" w:w="0"/>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firstColumn="1" w:firstRow="1" w:lastColumn="0" w:lastRow="0" w:noHBand="0" w:noVBand="1" w:val="04A0"/>
      </w:tblPr>
      <w:tblGrid>
        <w:gridCol w:w="2608"/>
        <w:gridCol w:w="2041"/>
        <w:gridCol w:w="5443"/>
        <w:gridCol w:w="2891"/>
      </w:tblGrid>
      <w:tr>
        <w:trPr>
          <w:tblHeader w:val="true"/>
        </w:trPr>
        <w:tc>
          <w:tcPr>
            <w:tcW w:type="dxa" w:w="2608"/>
            <w:shd w:val="clear" w:color="auto" w:fill="1F3864"/>
          </w:tcPr>
          <w:p>
            <w:r>
              <w:rPr>
                <w:rFonts w:ascii="Calibri" w:hAnsi="Calibri" w:cs="Calibri" w:eastAsia="Calibri"/>
                <w:b/>
                <w:i w:val="0"/>
                <w:color w:val="FFFFFF"/>
                <w:sz w:val="20"/>
              </w:rPr>
              <w:t>Ajuste</w:t>
            </w:r>
          </w:p>
        </w:tc>
        <w:tc>
          <w:tcPr>
            <w:tcW w:type="dxa" w:w="2041"/>
            <w:shd w:val="clear" w:color="auto" w:fill="1F3864"/>
          </w:tcPr>
          <w:p>
            <w:r>
              <w:rPr>
                <w:rFonts w:ascii="Calibri" w:hAnsi="Calibri" w:cs="Calibri" w:eastAsia="Calibri"/>
                <w:b/>
                <w:i w:val="0"/>
                <w:color w:val="FFFFFF"/>
                <w:sz w:val="20"/>
              </w:rPr>
              <w:t>Indicador que impacta</w:t>
            </w:r>
          </w:p>
        </w:tc>
        <w:tc>
          <w:tcPr>
            <w:tcW w:type="dxa" w:w="5443"/>
            <w:shd w:val="clear" w:color="auto" w:fill="1F3864"/>
          </w:tcPr>
          <w:p>
            <w:r>
              <w:rPr>
                <w:rFonts w:ascii="Calibri" w:hAnsi="Calibri" w:cs="Calibri" w:eastAsia="Calibri"/>
                <w:b/>
                <w:i w:val="0"/>
                <w:color w:val="FFFFFF"/>
                <w:sz w:val="20"/>
              </w:rPr>
              <w:t>Acción</w:t>
            </w:r>
          </w:p>
        </w:tc>
        <w:tc>
          <w:tcPr>
            <w:tcW w:type="dxa" w:w="2891"/>
            <w:shd w:val="clear" w:color="auto" w:fill="1F3864"/>
          </w:tcPr>
          <w:p>
            <w:r>
              <w:rPr>
                <w:rFonts w:ascii="Calibri" w:hAnsi="Calibri" w:cs="Calibri" w:eastAsia="Calibri"/>
                <w:b/>
                <w:i w:val="0"/>
                <w:color w:val="FFFFFF"/>
                <w:sz w:val="20"/>
              </w:rPr>
              <w:t>Responsable y plazo</w:t>
            </w:r>
          </w:p>
        </w:tc>
      </w:tr>
      <w:tr>
        <w:tc>
          <w:tcPr>
            <w:tcW w:type="dxa" w:w="2608"/>
          </w:tcPr>
          <w:p>
            <w:r>
              <w:rPr>
                <w:rFonts w:ascii="Calibri" w:hAnsi="Calibri" w:cs="Calibri" w:eastAsia="Calibri"/>
                <w:b w:val="0"/>
                <w:i w:val="0"/>
                <w:color w:val="000000"/>
                <w:sz w:val="20"/>
              </w:rPr>
              <w:t>Cerrar las puertas de fase pendientes</w:t>
            </w:r>
          </w:p>
        </w:tc>
        <w:tc>
          <w:tcPr>
            <w:tcW w:type="dxa" w:w="2041"/>
          </w:tcPr>
          <w:p>
            <w:r>
              <w:rPr>
                <w:rFonts w:ascii="Calibri" w:hAnsi="Calibri" w:cs="Calibri" w:eastAsia="Calibri"/>
                <w:b w:val="0"/>
                <w:i w:val="0"/>
                <w:color w:val="000000"/>
                <w:sz w:val="20"/>
              </w:rPr>
              <w:t>Indicador 2</w:t>
            </w:r>
          </w:p>
        </w:tc>
        <w:tc>
          <w:tcPr>
            <w:tcW w:type="dxa" w:w="5443"/>
          </w:tcPr>
          <w:p>
            <w:r>
              <w:rPr>
                <w:rFonts w:ascii="Calibri" w:hAnsi="Calibri" w:cs="Calibri" w:eastAsia="Calibri"/>
                <w:b w:val="0"/>
                <w:i w:val="0"/>
                <w:color w:val="000000"/>
                <w:sz w:val="20"/>
              </w:rPr>
              <w:t>Aprobar el SRS v1.0 (resolviendo la sección 4.6 y sacando la vibración, descartada el 23-09) y consolidar el D2 con arquitectura, ER, UML, protocolo de alerta y diseño Docker.</w:t>
            </w:r>
          </w:p>
        </w:tc>
        <w:tc>
          <w:tcPr>
            <w:tcW w:type="dxa" w:w="2891"/>
          </w:tcPr>
          <w:p>
            <w:r>
              <w:rPr>
                <w:rFonts w:ascii="Calibri" w:hAnsi="Calibri" w:cs="Calibri" w:eastAsia="Calibri"/>
                <w:b w:val="0"/>
                <w:i w:val="0"/>
                <w:color w:val="000000"/>
                <w:sz w:val="20"/>
              </w:rPr>
              <w:t>Iahn Vera (consolida) · semana 11</w:t>
            </w:r>
          </w:p>
        </w:tc>
      </w:tr>
      <w:tr>
        <w:tc>
          <w:tcPr>
            <w:tcW w:type="dxa" w:w="2608"/>
            <w:shd w:val="clear" w:color="auto" w:fill="F2F2F2"/>
          </w:tcPr>
          <w:p>
            <w:r>
              <w:rPr>
                <w:rFonts w:ascii="Calibri" w:hAnsi="Calibri" w:cs="Calibri" w:eastAsia="Calibri"/>
                <w:b w:val="0"/>
                <w:i w:val="0"/>
                <w:color w:val="000000"/>
                <w:sz w:val="20"/>
              </w:rPr>
              <w:t>Integrar la persistencia de incidentes</w:t>
            </w:r>
          </w:p>
        </w:tc>
        <w:tc>
          <w:tcPr>
            <w:tcW w:type="dxa" w:w="2041"/>
            <w:shd w:val="clear" w:color="auto" w:fill="F2F2F2"/>
          </w:tcPr>
          <w:p>
            <w:r>
              <w:rPr>
                <w:rFonts w:ascii="Calibri" w:hAnsi="Calibri" w:cs="Calibri" w:eastAsia="Calibri"/>
                <w:b w:val="0"/>
                <w:i w:val="0"/>
                <w:color w:val="000000"/>
                <w:sz w:val="20"/>
              </w:rPr>
              <w:t>Indicadores 3 y 7</w:t>
            </w:r>
          </w:p>
        </w:tc>
        <w:tc>
          <w:tcPr>
            <w:tcW w:type="dxa" w:w="5443"/>
            <w:shd w:val="clear" w:color="auto" w:fill="F2F2F2"/>
          </w:tcPr>
          <w:p>
            <w:r>
              <w:rPr>
                <w:rFonts w:ascii="Calibri" w:hAnsi="Calibri" w:cs="Calibri" w:eastAsia="Calibri"/>
                <w:b w:val="0"/>
                <w:i w:val="0"/>
                <w:color w:val="000000"/>
                <w:sz w:val="20"/>
              </w:rPr>
              <w:t>Unir en una sola rama POST /incidents con PostgreSQL, token del agente Edge y las diez pruebas; entrar a main por pull request revisado.</w:t>
            </w:r>
          </w:p>
        </w:tc>
        <w:tc>
          <w:tcPr>
            <w:tcW w:type="dxa" w:w="2891"/>
            <w:shd w:val="clear" w:color="auto" w:fill="F2F2F2"/>
          </w:tcPr>
          <w:p>
            <w:r>
              <w:rPr>
                <w:rFonts w:ascii="Calibri" w:hAnsi="Calibri" w:cs="Calibri" w:eastAsia="Calibri"/>
                <w:b w:val="0"/>
                <w:i w:val="0"/>
                <w:color w:val="000000"/>
                <w:sz w:val="20"/>
              </w:rPr>
              <w:t>Iahn Vera y Fernando Muñoz · semana 10–11</w:t>
            </w:r>
          </w:p>
        </w:tc>
      </w:tr>
      <w:tr>
        <w:tc>
          <w:tcPr>
            <w:tcW w:type="dxa" w:w="2608"/>
          </w:tcPr>
          <w:p>
            <w:r>
              <w:rPr>
                <w:rFonts w:ascii="Calibri" w:hAnsi="Calibri" w:cs="Calibri" w:eastAsia="Calibri"/>
                <w:b w:val="0"/>
                <w:i w:val="0"/>
                <w:color w:val="000000"/>
                <w:sz w:val="20"/>
              </w:rPr>
              <w:t>Ordenar el repositorio</w:t>
            </w:r>
          </w:p>
        </w:tc>
        <w:tc>
          <w:tcPr>
            <w:tcW w:type="dxa" w:w="2041"/>
          </w:tcPr>
          <w:p>
            <w:r>
              <w:rPr>
                <w:rFonts w:ascii="Calibri" w:hAnsi="Calibri" w:cs="Calibri" w:eastAsia="Calibri"/>
                <w:b w:val="0"/>
                <w:i w:val="0"/>
                <w:color w:val="000000"/>
                <w:sz w:val="20"/>
              </w:rPr>
              <w:t>Indicador 3 (estructura, criterio 6 de la sumativa)</w:t>
            </w:r>
          </w:p>
        </w:tc>
        <w:tc>
          <w:tcPr>
            <w:tcW w:type="dxa" w:w="5443"/>
          </w:tcPr>
          <w:p>
            <w:r>
              <w:rPr>
                <w:rFonts w:ascii="Calibri" w:hAnsi="Calibri" w:cs="Calibri" w:eastAsia="Calibri"/>
                <w:b w:val="0"/>
                <w:i w:val="0"/>
                <w:color w:val="000000"/>
                <w:sz w:val="20"/>
              </w:rPr>
              <w:t>Sacar el dataset y los pesos duplicados de la raíz, dejar el modelo en models/ con sus métricas y mover README2.md a la carpeta del modelo.</w:t>
            </w:r>
          </w:p>
        </w:tc>
        <w:tc>
          <w:tcPr>
            <w:tcW w:type="dxa" w:w="2891"/>
          </w:tcPr>
          <w:p>
            <w:r>
              <w:rPr>
                <w:rFonts w:ascii="Calibri" w:hAnsi="Calibri" w:cs="Calibri" w:eastAsia="Calibri"/>
                <w:b w:val="0"/>
                <w:i w:val="0"/>
                <w:color w:val="000000"/>
                <w:sz w:val="20"/>
              </w:rPr>
              <w:t>Joaquín Armijo · semana 11</w:t>
            </w:r>
          </w:p>
        </w:tc>
      </w:tr>
      <w:tr>
        <w:tc>
          <w:tcPr>
            <w:tcW w:type="dxa" w:w="2608"/>
            <w:shd w:val="clear" w:color="auto" w:fill="F2F2F2"/>
          </w:tcPr>
          <w:p>
            <w:r>
              <w:rPr>
                <w:rFonts w:ascii="Calibri" w:hAnsi="Calibri" w:cs="Calibri" w:eastAsia="Calibri"/>
                <w:b w:val="0"/>
                <w:i w:val="0"/>
                <w:color w:val="000000"/>
                <w:sz w:val="20"/>
              </w:rPr>
              <w:t>Subir el recall de la regla de casco</w:t>
            </w:r>
          </w:p>
        </w:tc>
        <w:tc>
          <w:tcPr>
            <w:tcW w:type="dxa" w:w="2041"/>
            <w:shd w:val="clear" w:color="auto" w:fill="F2F2F2"/>
          </w:tcPr>
          <w:p>
            <w:r>
              <w:rPr>
                <w:rFonts w:ascii="Calibri" w:hAnsi="Calibri" w:cs="Calibri" w:eastAsia="Calibri"/>
                <w:b w:val="0"/>
                <w:i w:val="0"/>
                <w:color w:val="000000"/>
                <w:sz w:val="20"/>
              </w:rPr>
              <w:t>Indicadores 3 y 7 (1.3)</w:t>
            </w:r>
          </w:p>
        </w:tc>
        <w:tc>
          <w:tcPr>
            <w:tcW w:type="dxa" w:w="5443"/>
            <w:shd w:val="clear" w:color="auto" w:fill="F2F2F2"/>
          </w:tcPr>
          <w:p>
            <w:r>
              <w:rPr>
                <w:rFonts w:ascii="Calibri" w:hAnsi="Calibri" w:cs="Calibri" w:eastAsia="Calibri"/>
                <w:b w:val="0"/>
                <w:i w:val="0"/>
                <w:color w:val="000000"/>
                <w:sz w:val="20"/>
              </w:rPr>
              <w:t>Reentrenar priorizando helmet y no_helmet, sumar imágenes propias y exportar a ONNX para el agente Edge.</w:t>
            </w:r>
          </w:p>
        </w:tc>
        <w:tc>
          <w:tcPr>
            <w:tcW w:type="dxa" w:w="2891"/>
            <w:shd w:val="clear" w:color="auto" w:fill="F2F2F2"/>
          </w:tcPr>
          <w:p>
            <w:r>
              <w:rPr>
                <w:rFonts w:ascii="Calibri" w:hAnsi="Calibri" w:cs="Calibri" w:eastAsia="Calibri"/>
                <w:b w:val="0"/>
                <w:i w:val="0"/>
                <w:color w:val="000000"/>
                <w:sz w:val="20"/>
              </w:rPr>
              <w:t>Joaquín Armijo e Iahn Vera · semanas 11–12</w:t>
            </w:r>
          </w:p>
        </w:tc>
      </w:tr>
      <w:tr>
        <w:tc>
          <w:tcPr>
            <w:tcW w:type="dxa" w:w="2608"/>
          </w:tcPr>
          <w:p>
            <w:r>
              <w:rPr>
                <w:rFonts w:ascii="Calibri" w:hAnsi="Calibri" w:cs="Calibri" w:eastAsia="Calibri"/>
                <w:b w:val="0"/>
                <w:i w:val="0"/>
                <w:color w:val="000000"/>
                <w:sz w:val="20"/>
              </w:rPr>
              <w:t>Plan de pruebas D3</w:t>
            </w:r>
          </w:p>
        </w:tc>
        <w:tc>
          <w:tcPr>
            <w:tcW w:type="dxa" w:w="2041"/>
          </w:tcPr>
          <w:p>
            <w:r>
              <w:rPr>
                <w:rFonts w:ascii="Calibri" w:hAnsi="Calibri" w:cs="Calibri" w:eastAsia="Calibri"/>
                <w:b w:val="0"/>
                <w:i w:val="0"/>
                <w:color w:val="000000"/>
                <w:sz w:val="20"/>
              </w:rPr>
              <w:t>Indicador 7 (1.1)</w:t>
            </w:r>
          </w:p>
        </w:tc>
        <w:tc>
          <w:tcPr>
            <w:tcW w:type="dxa" w:w="5443"/>
          </w:tcPr>
          <w:p>
            <w:r>
              <w:rPr>
                <w:rFonts w:ascii="Calibri" w:hAnsi="Calibri" w:cs="Calibri" w:eastAsia="Calibri"/>
                <w:b w:val="0"/>
                <w:i w:val="0"/>
                <w:color w:val="000000"/>
                <w:sz w:val="20"/>
              </w:rPr>
              <w:t>Documentar los casos de prueba unitarios, de integración, de rendimiento y de seguridad con sus criterios de aceptación.</w:t>
            </w:r>
          </w:p>
        </w:tc>
        <w:tc>
          <w:tcPr>
            <w:tcW w:type="dxa" w:w="2891"/>
          </w:tcPr>
          <w:p>
            <w:r>
              <w:rPr>
                <w:rFonts w:ascii="Calibri" w:hAnsi="Calibri" w:cs="Calibri" w:eastAsia="Calibri"/>
                <w:b w:val="0"/>
                <w:i w:val="0"/>
                <w:color w:val="000000"/>
                <w:sz w:val="20"/>
              </w:rPr>
              <w:t>Fernando Muñoz · semana 11</w:t>
            </w:r>
          </w:p>
        </w:tc>
      </w:tr>
      <w:tr>
        <w:tc>
          <w:tcPr>
            <w:tcW w:type="dxa" w:w="2608"/>
            <w:shd w:val="clear" w:color="auto" w:fill="F2F2F2"/>
          </w:tcPr>
          <w:p>
            <w:r>
              <w:rPr>
                <w:rFonts w:ascii="Calibri" w:hAnsi="Calibri" w:cs="Calibri" w:eastAsia="Calibri"/>
                <w:b w:val="0"/>
                <w:i w:val="0"/>
                <w:color w:val="000000"/>
                <w:sz w:val="20"/>
              </w:rPr>
              <w:t>Equilibrar el aporte en Git</w:t>
            </w:r>
          </w:p>
        </w:tc>
        <w:tc>
          <w:tcPr>
            <w:tcW w:type="dxa" w:w="2041"/>
            <w:shd w:val="clear" w:color="auto" w:fill="F2F2F2"/>
          </w:tcPr>
          <w:p>
            <w:r>
              <w:rPr>
                <w:rFonts w:ascii="Calibri" w:hAnsi="Calibri" w:cs="Calibri" w:eastAsia="Calibri"/>
                <w:b w:val="0"/>
                <w:i w:val="0"/>
                <w:color w:val="000000"/>
                <w:sz w:val="20"/>
              </w:rPr>
              <w:t>Criterio 7 de la sumativa (15 pts)</w:t>
            </w:r>
          </w:p>
        </w:tc>
        <w:tc>
          <w:tcPr>
            <w:tcW w:type="dxa" w:w="5443"/>
            <w:shd w:val="clear" w:color="auto" w:fill="F2F2F2"/>
          </w:tcPr>
          <w:p>
            <w:r>
              <w:rPr>
                <w:rFonts w:ascii="Calibri" w:hAnsi="Calibri" w:cs="Calibri" w:eastAsia="Calibri"/>
                <w:b w:val="0"/>
                <w:i w:val="0"/>
                <w:color w:val="000000"/>
                <w:sz w:val="20"/>
              </w:rPr>
              <w:t>Cada integrante sube su trabajo desde su cuenta, con una rama por tarea y mensajes de commit descriptivos. En mi caso: agente Edge con RTSP y receptor simulado.</w:t>
            </w:r>
          </w:p>
        </w:tc>
        <w:tc>
          <w:tcPr>
            <w:tcW w:type="dxa" w:w="2891"/>
            <w:shd w:val="clear" w:color="auto" w:fill="F2F2F2"/>
          </w:tcPr>
          <w:p>
            <w:r>
              <w:rPr>
                <w:rFonts w:ascii="Calibri" w:hAnsi="Calibri" w:cs="Calibri" w:eastAsia="Calibri"/>
                <w:b w:val="0"/>
                <w:i w:val="0"/>
                <w:color w:val="000000"/>
                <w:sz w:val="20"/>
              </w:rPr>
              <w:t>Equipo · continuo</w:t>
            </w:r>
          </w:p>
        </w:tc>
      </w:tr>
    </w:tbl>
    <w:p>
      <w:pPr>
        <w:spacing w:after="120"/>
      </w:pPr>
      <w:r>
        <w:rPr>
          <w:rFonts w:ascii="Calibri" w:hAnsi="Calibri" w:cs="Calibri" w:eastAsia="Calibri"/>
          <w:b w:val="0"/>
          <w:i w:val="0"/>
          <w:color w:val="000000"/>
          <w:sz w:val="22"/>
        </w:rPr>
      </w:r>
    </w:p>
    <w:p>
      <w:pPr>
        <w:spacing w:after="80"/>
      </w:pPr>
      <w:r>
        <w:rPr>
          <w:rFonts w:ascii="Calibri" w:hAnsi="Calibri" w:cs="Calibri" w:eastAsia="Calibri"/>
          <w:b/>
          <w:i w:val="0"/>
          <w:color w:val="1F3864"/>
          <w:sz w:val="26"/>
        </w:rPr>
        <w:t>Fortalezas y aspectos por mejorar detectados</w:t>
      </w:r>
    </w:p>
    <w:p>
      <w:pPr>
        <w:spacing w:after="120"/>
      </w:pPr>
      <w:r>
        <w:rPr>
          <w:rFonts w:ascii="Calibri" w:hAnsi="Calibri" w:cs="Calibri" w:eastAsia="Calibri"/>
          <w:b/>
          <w:i w:val="0"/>
          <w:color w:val="000000"/>
          <w:sz w:val="22"/>
        </w:rPr>
        <w:t xml:space="preserve">Fortaleza principal. </w:t>
      </w:r>
      <w:r>
        <w:rPr>
          <w:rFonts w:ascii="Calibri" w:hAnsi="Calibri" w:cs="Calibri" w:eastAsia="Calibri"/>
          <w:b w:val="0"/>
          <w:i w:val="0"/>
          <w:color w:val="000000"/>
          <w:sz w:val="22"/>
        </w:rPr>
        <w:t>El proyecto se gestiona como tal: cada cambio de rumbo (metodología, tipo de alerta, emisor de la alerta, modelo YOLO26) quedó registrado con su motivo, y el monitoreo del plan dice con honestidad qué está atrasado. Eso sostiene los indicadores 1 y 2 y la competencia de gestión, que es mi rol en el equipo.</w:t>
      </w:r>
    </w:p>
    <w:p>
      <w:pPr>
        <w:spacing w:after="120"/>
      </w:pPr>
      <w:r>
        <w:rPr>
          <w:rFonts w:ascii="Calibri" w:hAnsi="Calibri" w:cs="Calibri" w:eastAsia="Calibri"/>
          <w:b/>
          <w:i w:val="0"/>
          <w:color w:val="000000"/>
          <w:sz w:val="22"/>
        </w:rPr>
        <w:t xml:space="preserve">Aspecto por mejorar principal. </w:t>
      </w:r>
      <w:r>
        <w:rPr>
          <w:rFonts w:ascii="Calibri" w:hAnsi="Calibri" w:cs="Calibri" w:eastAsia="Calibri"/>
          <w:b w:val="0"/>
          <w:i w:val="0"/>
          <w:color w:val="000000"/>
          <w:sz w:val="22"/>
        </w:rPr>
        <w:t>Mi aporte de código. Hasta ahora contribuí sobre todo con documentación, coordinación y revisión, y el repositorio lo refleja: 5 commits míos contra 27 de Joaquín. La evaluación de avance mide la equidad en Git, así que mi prioridad para las próximas semanas es construir y subir el agente Edge y el receptor simulado, que son mis tareas en la Gantt.</w:t>
      </w:r>
    </w:p>
    <w:sectPr>
      <w:headerReference r:id="rId6" w:type="default"/>
      <w:footerReference r:id="rId7"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Pr>
        <w:rFonts w:ascii="Calibri" w:hAnsi="Calibri" w:cs="Calibri" w:eastAsia="Calibri"/>
        <w:b w:val="0"/>
        <w:i w:val="0"/>
        <w:color w:val="000000"/>
        <w:sz w:val="18"/>
      </w:rPr>
      <w:t xml:space="preserve">Página </w:t>
    </w:r>
    <w:r>
      <w:rPr>
        <w:rFonts w:ascii="Calibri" w:hAnsi="Calibri" w:cs="Calibri" w:eastAsia="Calibri"/>
        <w:b w:val="0"/>
        <w:i w:val="0"/>
        <w:color w:val="000000"/>
        <w:sz w:val="18"/>
      </w:rPr>
      <w:fldChar w:fldCharType="begin"/>
    </w:r>
    <w:r>
      <w:rPr>
        <w:rFonts w:ascii="Calibri" w:hAnsi="Calibri" w:cs="Calibri" w:eastAsia="Calibri"/>
        <w:b w:val="0"/>
        <w:i w:val="0"/>
        <w:color w:val="000000"/>
        <w:sz w:val="18"/>
      </w:rPr>
      <w:instrText xml:space="preserve"> PAGE </w:instrText>
    </w:r>
    <w:r>
      <w:rPr>
        <w:rFonts w:ascii="Calibri" w:hAnsi="Calibri" w:cs="Calibri" w:eastAsia="Calibri"/>
        <w:b w:val="0"/>
        <w:i w:val="0"/>
        <w:color w:val="000000"/>
        <w:sz w:val="18"/>
      </w:rPr>
      <w:fldChar w:fldCharType="separate"/>
    </w:r>
    <w:r>
      <w:rPr>
        <w:rFonts w:ascii="Calibri" w:hAnsi="Calibri" w:cs="Calibri" w:eastAsia="Calibri"/>
        <w:b w:val="0"/>
        <w:i w:val="0"/>
        <w:color w:val="000000"/>
        <w:sz w:val="18"/>
      </w:rPr>
      <w:t>1</w:t>
    </w:r>
    <w:r>
      <w:rPr>
        <w:rFonts w:ascii="Calibri" w:hAnsi="Calibri" w:cs="Calibri" w:eastAsia="Calibri"/>
        <w:b w:val="0"/>
        <w:i w:val="0"/>
        <w:color w:val="000000"/>
        <w:sz w:val="18"/>
      </w:rPr>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Autoevaluación avance Fase 2 · CascoVision</dc:title>
  <cp:lastModifiedBy>python-docx</cp:lastModifiedBy>
  <cp:revision>1</cp:revision>
  <dcterms:modified xsi:type="dcterms:W3CDTF">2026-10-16T01:14:46Z</dcterms:modified>
  <dc:creator>Iahn Vera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